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1"/>
      <w:r>
        <w:rPr>
          <w:rFonts w:ascii="Arial" w:hAnsi="Arial" w:cs="Arial"/>
          <w:b/>
          <w:sz w:val="24"/>
          <w:szCs w:val="24"/>
        </w:rPr>
        <w:t>3GPP TSG-RAN WG4 Meeting # 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7</w:t>
      </w:r>
      <w:r>
        <w:rPr>
          <w:rFonts w:hint="eastAsia" w:ascii="Arial" w:hAnsi="Arial" w:cs="Arial"/>
          <w:b/>
          <w:color w:val="FF0000"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</w:t>
      </w:r>
      <w:r>
        <w:rPr>
          <w:rFonts w:hint="eastAsia" w:ascii="Arial" w:hAnsi="Arial" w:cs="Arial"/>
          <w:b/>
          <w:color w:val="auto"/>
          <w:sz w:val="24"/>
          <w:szCs w:val="24"/>
        </w:rPr>
        <w:t xml:space="preserve">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="Arial" w:hAnsi="Arial" w:cs="Arial"/>
          <w:b/>
          <w:color w:val="auto"/>
          <w:sz w:val="24"/>
          <w:szCs w:val="24"/>
        </w:rPr>
        <w:t>R4-2308404</w:t>
      </w:r>
    </w:p>
    <w:bookmarkEnd w:id="2"/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  <w:t>Incheon, KR, May 22 – May 26, 2023</w:t>
      </w:r>
    </w:p>
    <w:p>
      <w:pPr>
        <w:pStyle w:val="14"/>
        <w:widowControl w:val="0"/>
        <w:spacing w:before="120" w:after="120"/>
        <w:jc w:val="both"/>
        <w:rPr>
          <w:b/>
          <w:i/>
          <w:sz w:val="24"/>
        </w:rPr>
      </w:pPr>
    </w:p>
    <w:p>
      <w:pPr>
        <w:widowControl w:val="0"/>
        <w:tabs>
          <w:tab w:val="left" w:pos="1985"/>
        </w:tabs>
        <w:spacing w:before="120" w:after="120" w:line="240" w:lineRule="auto"/>
        <w:outlineLvl w:val="0"/>
        <w:rPr>
          <w:rStyle w:val="59"/>
          <w:rFonts w:hint="default"/>
          <w:b/>
          <w:lang w:val="en-US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hint="eastAsia" w:ascii="Arial" w:hAnsi="Arial"/>
          <w:b/>
          <w:sz w:val="24"/>
          <w:lang w:val="en-US" w:eastAsia="zh-CN"/>
        </w:rPr>
        <w:t xml:space="preserve">Discussion on demodulation requirement for intra-band </w:t>
      </w:r>
      <w:r>
        <w:rPr>
          <w:rFonts w:hint="eastAsia" w:ascii="Arial" w:hAnsi="Arial"/>
          <w:b/>
          <w:sz w:val="24"/>
          <w:lang w:val="en-US" w:eastAsia="zh-CN"/>
        </w:rPr>
        <w:tab/>
      </w:r>
      <w:bookmarkStart w:id="13" w:name="_GoBack"/>
      <w:bookmarkEnd w:id="13"/>
      <w:r>
        <w:rPr>
          <w:rFonts w:hint="eastAsia" w:ascii="Arial" w:hAnsi="Arial"/>
          <w:b/>
          <w:sz w:val="24"/>
          <w:lang w:val="en-US" w:eastAsia="zh-CN"/>
        </w:rPr>
        <w:t>non-collocated EN-DC/NR-CA deployment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Style w:val="59"/>
          <w:rFonts w:hint="eastAsia"/>
          <w:b/>
        </w:rPr>
        <w:t xml:space="preserve">Source: </w:t>
      </w:r>
      <w:r>
        <w:rPr>
          <w:rStyle w:val="59"/>
          <w:rFonts w:hint="eastAsia"/>
          <w:b/>
        </w:rPr>
        <w:tab/>
      </w:r>
      <w:r>
        <w:rPr>
          <w:rStyle w:val="59"/>
          <w:rFonts w:hint="eastAsia"/>
          <w:b/>
        </w:rPr>
        <w:t>ZTE Corporation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/>
          <w:b/>
          <w:color w:val="FF0000"/>
          <w:lang w:val="en-US"/>
        </w:rPr>
      </w:pPr>
      <w:r>
        <w:rPr>
          <w:rStyle w:val="59"/>
          <w:rFonts w:hint="eastAsia"/>
          <w:b/>
          <w:lang w:val="pt-BR"/>
        </w:rPr>
        <w:t>Agenda item: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  <w:color w:val="auto"/>
          <w:lang w:val="en-US" w:eastAsia="zh-CN"/>
        </w:rPr>
        <w:t>8.12.4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  <w:lang w:val="pt-BR"/>
        </w:rPr>
      </w:pPr>
      <w:r>
        <w:rPr>
          <w:rStyle w:val="59"/>
          <w:rFonts w:hint="eastAsia"/>
          <w:b/>
          <w:lang w:val="pt-BR"/>
        </w:rPr>
        <w:t>Document for: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</w:rPr>
        <w:t>Approval</w:t>
      </w: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i/>
          <w:iCs/>
        </w:rPr>
      </w:pPr>
      <w:r>
        <w:rPr>
          <w:b/>
          <w:kern w:val="0"/>
          <w:sz w:val="24"/>
          <w:szCs w:val="24"/>
        </w:rPr>
        <w:t>1 Introduction</w:t>
      </w:r>
      <w:bookmarkStart w:id="3" w:name="OLE_LINK25"/>
    </w:p>
    <w:p>
      <w:pPr>
        <w:spacing w:after="120"/>
        <w:rPr>
          <w:rFonts w:hint="default" w:cs="Times New Roman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A</w:t>
      </w:r>
      <w:r>
        <w:rPr>
          <w:rFonts w:ascii="Times New Roman" w:hAnsi="Times New Roman"/>
          <w:sz w:val="20"/>
        </w:rPr>
        <w:t xml:space="preserve"> new WI </w:t>
      </w:r>
      <w:r>
        <w:rPr>
          <w:rFonts w:hint="eastAsia"/>
          <w:sz w:val="20"/>
          <w:lang w:val="en-US" w:eastAsia="zh-CN"/>
        </w:rPr>
        <w:t>for</w:t>
      </w:r>
      <w:r>
        <w:rPr>
          <w:rFonts w:ascii="Times New Roman" w:hAnsi="Times New Roman"/>
          <w:sz w:val="20"/>
        </w:rPr>
        <w:t xml:space="preserve"> intra-band non-collocated ENDC/NRCA was approved</w:t>
      </w:r>
      <w:r>
        <w:rPr>
          <w:rFonts w:hint="eastAsia"/>
          <w:sz w:val="20"/>
          <w:lang w:val="en-US" w:eastAsia="zh-CN"/>
        </w:rPr>
        <w:t xml:space="preserve"> i</w:t>
      </w:r>
      <w:r>
        <w:rPr>
          <w:rFonts w:ascii="Times New Roman" w:hAnsi="Times New Roman" w:cs="Times New Roman"/>
          <w:sz w:val="20"/>
          <w:lang w:val="en-GB"/>
        </w:rPr>
        <w:t>n RAN#95-e meeting</w:t>
      </w:r>
      <w:r>
        <w:rPr>
          <w:rFonts w:ascii="Times New Roman" w:hAnsi="Times New Roman"/>
          <w:sz w:val="20"/>
        </w:rPr>
        <w:t>.</w:t>
      </w:r>
      <w:r>
        <w:rPr>
          <w:rFonts w:ascii="Times New Roman" w:hAnsi="Times New Roman" w:cs="Times New Roman"/>
          <w:sz w:val="20"/>
          <w:lang w:val="en-GB"/>
        </w:rPr>
        <w:t xml:space="preserve"> In RAN4#10</w:t>
      </w:r>
      <w:r>
        <w:rPr>
          <w:rFonts w:hint="eastAsia" w:cs="Times New Roman"/>
          <w:sz w:val="20"/>
          <w:lang w:val="en-US" w:eastAsia="zh-CN"/>
        </w:rPr>
        <w:t>6</w:t>
      </w:r>
      <w:r>
        <w:rPr>
          <w:rFonts w:ascii="Times New Roman" w:hAnsi="Times New Roman" w:cs="Times New Roman"/>
          <w:sz w:val="20"/>
          <w:lang w:val="en-GB"/>
        </w:rPr>
        <w:t xml:space="preserve"> meeting, </w:t>
      </w:r>
      <w:r>
        <w:rPr>
          <w:rFonts w:hint="eastAsia" w:cs="Times New Roman"/>
          <w:sz w:val="20"/>
          <w:lang w:val="en-US" w:eastAsia="zh-CN"/>
        </w:rPr>
        <w:t>it was concluded that the demodulation requirement needs to be discussed</w:t>
      </w:r>
      <w:r>
        <w:rPr>
          <w:rFonts w:hint="eastAsia" w:cs="Times New Roman"/>
          <w:sz w:val="20"/>
          <w:vertAlign w:val="superscript"/>
          <w:lang w:val="en-US" w:eastAsia="zh-CN"/>
        </w:rPr>
        <w:t>[1]</w:t>
      </w:r>
      <w:r>
        <w:rPr>
          <w:rFonts w:hint="eastAsia" w:cs="Times New Roman"/>
          <w:sz w:val="20"/>
          <w:lang w:val="en-US" w:eastAsia="zh-CN"/>
        </w:rPr>
        <w:t>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 xml:space="preserve">Issue 1-2-2: </w:t>
            </w:r>
            <w:bookmarkStart w:id="4" w:name="_Hlk132961775"/>
            <w:r>
              <w:rPr>
                <w:b/>
                <w:u w:val="single"/>
                <w:lang w:eastAsia="ko-KR"/>
              </w:rPr>
              <w:t>Test scope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Whether to</w:t>
            </w:r>
            <w:r>
              <w:rPr>
                <w:b/>
                <w:bCs/>
                <w:lang w:eastAsia="ko-KR"/>
              </w:rPr>
              <w:t xml:space="preserve"> </w:t>
            </w:r>
            <w:r>
              <w:rPr>
                <w:b/>
                <w:bCs/>
                <w:lang w:eastAsia="zh-CN"/>
              </w:rPr>
              <w:t>define the corresponding UE demodulation requirements for Type 2 UE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>
              <w:rPr>
                <w:b/>
                <w:lang w:eastAsia="zh-CN"/>
              </w:rPr>
              <w:t>Way forward</w:t>
            </w:r>
            <w:bookmarkEnd w:id="4"/>
            <w:r>
              <w:rPr>
                <w:b/>
                <w:lang w:eastAsia="zh-CN"/>
              </w:rPr>
              <w:t>:</w:t>
            </w:r>
          </w:p>
          <w:p>
            <w:pPr>
              <w:pStyle w:val="32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Option 1: Define new UE demodulation requirements for Type 2 UE for intra-band non-contiguous EN-DC/NR-CA deployment scenario. </w:t>
            </w:r>
          </w:p>
          <w:p>
            <w:pPr>
              <w:pStyle w:val="32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Interested companies assume the maximum received time difference value (33us) and maximum power imbalance assumption (25dB).</w:t>
            </w:r>
          </w:p>
          <w:p>
            <w:pPr>
              <w:pStyle w:val="32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Option 2: Not define new UE demodulation requirements for Type 2 UE for intra-band non-contiguous EN-DC/NR-CA deployment scenario.</w:t>
            </w:r>
          </w:p>
          <w:p>
            <w:pPr>
              <w:numPr>
                <w:ilvl w:val="-1"/>
                <w:numId w:val="0"/>
              </w:numPr>
              <w:overflowPunct/>
              <w:autoSpaceDE/>
              <w:autoSpaceDN/>
              <w:adjustRightInd/>
              <w:spacing w:after="0"/>
              <w:ind w:left="0" w:firstLine="0"/>
              <w:textAlignment w:val="auto"/>
              <w:rPr>
                <w:lang w:val="en-US"/>
              </w:rPr>
            </w:pPr>
          </w:p>
        </w:tc>
      </w:tr>
    </w:tbl>
    <w:p>
      <w:pPr>
        <w:widowControl w:val="0"/>
        <w:spacing w:before="120" w:beforeLines="0" w:after="120" w:afterLines="0" w:line="240" w:lineRule="auto"/>
        <w:jc w:val="left"/>
        <w:rPr>
          <w:rFonts w:hint="default" w:eastAsia="宋体"/>
          <w:kern w:val="0"/>
          <w:sz w:val="20"/>
          <w:lang w:val="en-US" w:eastAsia="zh-CN"/>
        </w:rPr>
      </w:pPr>
      <w:bookmarkStart w:id="5" w:name="OLE_LINK33"/>
      <w:r>
        <w:rPr>
          <w:rFonts w:hint="eastAsia"/>
          <w:kern w:val="0"/>
          <w:sz w:val="20"/>
        </w:rPr>
        <w:t xml:space="preserve"> </w:t>
      </w:r>
      <w:bookmarkEnd w:id="5"/>
      <w:r>
        <w:rPr>
          <w:rFonts w:hint="eastAsia"/>
          <w:kern w:val="0"/>
          <w:sz w:val="20"/>
          <w:lang w:val="en-US" w:eastAsia="zh-CN"/>
        </w:rPr>
        <w:t>In this contribution, we give some initial discussion on the demodulation aspect.</w:t>
      </w:r>
    </w:p>
    <w:bookmarkEnd w:id="3"/>
    <w:p>
      <w:pPr>
        <w:widowControl w:val="0"/>
        <w:pBdr>
          <w:top w:val="single" w:color="auto" w:sz="12" w:space="3"/>
        </w:pBdr>
        <w:spacing w:beforeLines="0" w:afterLines="0" w:line="240" w:lineRule="auto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2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Discussion</w:t>
      </w:r>
    </w:p>
    <w:p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both"/>
        <w:textAlignment w:val="auto"/>
        <w:outlineLvl w:val="1"/>
        <w:rPr>
          <w:rFonts w:hint="default" w:eastAsia="宋体"/>
          <w:b/>
          <w:bCs/>
          <w:u w:val="single"/>
          <w:lang w:val="en-US" w:eastAsia="zh-CN" w:bidi="hi-IN"/>
        </w:rPr>
      </w:pPr>
      <w:bookmarkStart w:id="6" w:name="OLE_LINK6"/>
      <w:bookmarkStart w:id="7" w:name="OLE_LINK41"/>
      <w:bookmarkStart w:id="8" w:name="OLE_LINK23"/>
      <w:bookmarkStart w:id="9" w:name="OLE_LINK66"/>
      <w:r>
        <w:rPr>
          <w:rFonts w:hint="eastAsia" w:eastAsia="宋体"/>
          <w:b/>
          <w:bCs/>
          <w:u w:val="single"/>
          <w:lang w:val="en-US" w:eastAsia="zh-CN" w:bidi="hi-IN"/>
        </w:rPr>
        <w:t xml:space="preserve">2.1 </w:t>
      </w:r>
      <w:r>
        <w:rPr>
          <w:rFonts w:hint="eastAsia"/>
          <w:b/>
          <w:bCs/>
          <w:u w:val="single"/>
          <w:lang w:val="en-US" w:eastAsia="zh-CN" w:bidi="hi-IN"/>
        </w:rPr>
        <w:t>Type 2 UE</w:t>
      </w:r>
    </w:p>
    <w:p>
      <w:pPr>
        <w:pStyle w:val="62"/>
        <w:keepLines w:val="0"/>
        <w:widowControl w:val="0"/>
        <w:spacing w:before="120" w:after="120"/>
        <w:ind w:left="0" w:firstLine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the RF session, the Type 2 architecture was reached as below</w:t>
      </w:r>
    </w:p>
    <w:tbl>
      <w:tblPr>
        <w:tblStyle w:val="2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510"/>
        <w:gridCol w:w="303"/>
        <w:gridCol w:w="627"/>
        <w:gridCol w:w="770"/>
        <w:gridCol w:w="879"/>
        <w:gridCol w:w="557"/>
        <w:gridCol w:w="850"/>
        <w:gridCol w:w="1233"/>
        <w:gridCol w:w="347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/>
            <w:noWrap w:val="0"/>
            <w:vAlign w:val="top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UE</w:t>
            </w:r>
          </w:p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Type</w:t>
            </w:r>
          </w:p>
        </w:tc>
        <w:tc>
          <w:tcPr>
            <w:tcW w:w="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EEAF6"/>
            <w:noWrap/>
            <w:vAlign w:val="bottom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pPr>
          </w:p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CC#</w:t>
            </w:r>
          </w:p>
        </w:tc>
        <w:tc>
          <w:tcPr>
            <w:tcW w:w="9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EEAF6"/>
            <w:noWrap w:val="0"/>
            <w:vAlign w:val="bottom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antenna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br w:type="textWrapping"/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/ LNA</w:t>
            </w: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EEAF6"/>
            <w:noWrap w:val="0"/>
            <w:vAlign w:val="bottom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Mixer</w:t>
            </w:r>
          </w:p>
        </w:tc>
        <w:tc>
          <w:tcPr>
            <w:tcW w:w="8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EEAF6"/>
            <w:noWrap w:val="0"/>
            <w:vAlign w:val="bottom"/>
          </w:tcPr>
          <w:p>
            <w:pPr>
              <w:spacing w:after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Analog</w:t>
            </w:r>
          </w:p>
          <w:p>
            <w:pPr>
              <w:spacing w:after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BB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EEAF6"/>
            <w:noWrap w:val="0"/>
            <w:vAlign w:val="bottom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#Rx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/>
            <w:noWrap w:val="0"/>
            <w:vAlign w:val="top"/>
          </w:tcPr>
          <w:p>
            <w:pPr>
              <w:spacing w:after="0"/>
              <w:rPr>
                <w:rFonts w:hint="default" w:ascii="Times New Roman" w:hAnsi="Times New Roman" w:eastAsia="游明朝" w:cs="Times New Roman"/>
                <w:b w:val="0"/>
                <w:bCs w:val="0"/>
                <w:color w:val="000000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b w:val="0"/>
                <w:bCs w:val="0"/>
                <w:color w:val="000000"/>
                <w:sz w:val="20"/>
                <w:szCs w:val="20"/>
                <w:lang w:eastAsia="ja-JP"/>
              </w:rPr>
              <w:t>NRCA/</w:t>
            </w:r>
          </w:p>
          <w:p>
            <w:pPr>
              <w:spacing w:after="0"/>
              <w:rPr>
                <w:rFonts w:hint="default" w:ascii="Times New Roman" w:hAnsi="Times New Roman" w:eastAsia="游明朝" w:cs="Times New Roman"/>
                <w:b w:val="0"/>
                <w:bCs w:val="0"/>
                <w:color w:val="000000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b w:val="0"/>
                <w:bCs w:val="0"/>
                <w:color w:val="000000"/>
                <w:sz w:val="20"/>
                <w:szCs w:val="20"/>
                <w:lang w:eastAsia="ja-JP"/>
              </w:rPr>
              <w:t>ENDC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/>
            <w:noWrap w:val="0"/>
            <w:vAlign w:val="bottom"/>
          </w:tcPr>
          <w:p>
            <w:pPr>
              <w:spacing w:after="0"/>
              <w:rPr>
                <w:rFonts w:hint="default" w:ascii="Times New Roman" w:hAnsi="Times New Roman" w:eastAsia="游明朝" w:cs="Times New Roman"/>
                <w:b w:val="0"/>
                <w:bCs w:val="0"/>
                <w:color w:val="000000"/>
                <w:sz w:val="20"/>
                <w:szCs w:val="20"/>
                <w:lang w:eastAsia="ja-JP"/>
              </w:rPr>
            </w:pPr>
            <w:r>
              <w:rPr>
                <w:rFonts w:hint="default" w:ascii="Times New Roman" w:hAnsi="Times New Roman" w:eastAsia="游明朝" w:cs="Times New Roman"/>
                <w:b w:val="0"/>
                <w:bCs w:val="0"/>
                <w:color w:val="000000"/>
                <w:sz w:val="20"/>
                <w:szCs w:val="20"/>
                <w:lang w:eastAsia="ja-JP"/>
              </w:rPr>
              <w:t>power</w:t>
            </w:r>
          </w:p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imbalance</w:t>
            </w:r>
          </w:p>
        </w:tc>
        <w:tc>
          <w:tcPr>
            <w:tcW w:w="34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EEAF6"/>
            <w:noWrap/>
            <w:vAlign w:val="bottom"/>
          </w:tcPr>
          <w:p>
            <w:pPr>
              <w:spacing w:after="0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comment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67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27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bottom"/>
          </w:tcPr>
          <w:p>
            <w:pPr>
              <w:spacing w:after="0"/>
              <w:jc w:val="center"/>
              <w:rPr>
                <w:rFonts w:ascii="Times New Roman" w:hAnsi="Times New Roman" w:eastAsia="游明朝" w:cs="Times New Roman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Times New Roman" w:hAnsi="Times New Roman" w:eastAsia="游明朝" w:cs="Times New Roman"/>
                <w:color w:val="000000"/>
                <w:sz w:val="16"/>
                <w:szCs w:val="16"/>
                <w:lang w:eastAsia="ja-JP"/>
              </w:rPr>
              <w:t>4</w:t>
            </w:r>
          </w:p>
          <w:p>
            <w:pPr>
              <w:spacing w:after="0"/>
              <w:jc w:val="center"/>
              <w:rPr>
                <w:rFonts w:ascii="Times New Roman" w:hAnsi="Times New Roman" w:eastAsia="游明朝" w:cs="Times New Roman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Times New Roman" w:hAnsi="Times New Roman" w:eastAsia="游明朝" w:cs="Times New Roman"/>
                <w:color w:val="000000"/>
                <w:sz w:val="16"/>
                <w:szCs w:val="16"/>
                <w:lang w:eastAsia="ja-JP"/>
              </w:rPr>
              <w:t>total</w:t>
            </w: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2Rx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jc w:val="center"/>
              <w:rPr>
                <w:rFonts w:ascii="Times New Roman" w:hAnsi="Times New Roman" w:eastAsia="游明朝" w:cs="Times New Roman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Times New Roman" w:hAnsi="Times New Roman" w:eastAsia="游明朝" w:cs="Times New Roman"/>
                <w:color w:val="000000"/>
                <w:sz w:val="16"/>
                <w:szCs w:val="16"/>
                <w:lang w:eastAsia="ja-JP"/>
              </w:rPr>
              <w:t>NRCA</w:t>
            </w:r>
          </w:p>
          <w:p>
            <w:pPr>
              <w:spacing w:after="0"/>
              <w:jc w:val="center"/>
              <w:rPr>
                <w:rFonts w:ascii="Times New Roman" w:hAnsi="Times New Roman" w:eastAsia="游明朝" w:cs="Times New Roman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Times New Roman" w:hAnsi="Times New Roman" w:eastAsia="游明朝" w:cs="Times New Roman"/>
                <w:color w:val="000000"/>
                <w:sz w:val="16"/>
                <w:szCs w:val="16"/>
                <w:lang w:eastAsia="ja-JP"/>
              </w:rPr>
              <w:t>ENDC</w:t>
            </w:r>
          </w:p>
        </w:tc>
        <w:tc>
          <w:tcPr>
            <w:tcW w:w="123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25dB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 w:type="textWrapping"/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full range</w:t>
            </w:r>
          </w:p>
        </w:tc>
        <w:tc>
          <w:tcPr>
            <w:tcW w:w="347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Reuse of baseline architecture restricted to 2Rx/band but need 2LO frequencies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6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2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2Rx</w:t>
            </w: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top"/>
          </w:tcPr>
          <w:p>
            <w:pPr>
              <w:spacing w:after="0"/>
              <w:jc w:val="center"/>
              <w:rPr>
                <w:rFonts w:ascii="Times New Roman" w:hAnsi="Times New Roman" w:eastAsia="游明朝" w:cs="Times New Roman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123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7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>
      <w:pPr>
        <w:pStyle w:val="62"/>
        <w:keepLines w:val="0"/>
        <w:widowControl w:val="0"/>
        <w:spacing w:before="120" w:after="120"/>
        <w:ind w:left="0" w:firstLine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As independent RF chains with 2Rx for each CC are used for n77(2A)/n78(2A), data carried on one CC is not to be affected by the other one.</w:t>
      </w:r>
    </w:p>
    <w:p>
      <w:pPr>
        <w:pStyle w:val="62"/>
        <w:keepLines w:val="0"/>
        <w:widowControl w:val="0"/>
        <w:spacing w:before="120" w:after="120"/>
        <w:ind w:left="0" w:firstLine="0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 xml:space="preserve">For demodulation performance, it </w:t>
      </w:r>
      <w:r>
        <w:rPr>
          <w:rFonts w:hint="eastAsia"/>
          <w:lang w:val="en-US" w:eastAsia="zh-CN"/>
        </w:rPr>
        <w:t xml:space="preserve">is </w:t>
      </w:r>
      <w:r>
        <w:rPr>
          <w:rFonts w:hint="default"/>
          <w:lang w:val="en-US" w:eastAsia="zh-CN"/>
        </w:rPr>
        <w:t>found that the demodulation performance</w:t>
      </w:r>
      <w:r>
        <w:rPr>
          <w:rFonts w:hint="eastAsia"/>
          <w:lang w:val="en-US" w:eastAsia="zh-CN"/>
        </w:rPr>
        <w:t>s</w:t>
      </w:r>
      <w:r>
        <w:rPr>
          <w:rFonts w:hint="default"/>
          <w:lang w:val="en-US" w:eastAsia="zh-CN"/>
        </w:rPr>
        <w:t xml:space="preserve"> of ENDC</w:t>
      </w:r>
      <w:r>
        <w:rPr>
          <w:rFonts w:hint="eastAsia"/>
          <w:lang w:val="en-US" w:eastAsia="zh-CN"/>
        </w:rPr>
        <w:t xml:space="preserve">(intra-band contiguous and intra-band non-contiguous) with power imbalance and CA with power imbalance </w:t>
      </w:r>
      <w:r>
        <w:rPr>
          <w:rFonts w:hint="default"/>
          <w:lang w:val="en-US" w:eastAsia="zh-CN"/>
        </w:rPr>
        <w:t>w</w:t>
      </w:r>
      <w:r>
        <w:rPr>
          <w:rFonts w:hint="eastAsia"/>
          <w:lang w:val="en-US" w:eastAsia="zh-CN"/>
        </w:rPr>
        <w:t>ere</w:t>
      </w:r>
      <w:r>
        <w:rPr>
          <w:rFonts w:hint="default"/>
          <w:lang w:val="en-US" w:eastAsia="zh-CN"/>
        </w:rPr>
        <w:t xml:space="preserve"> defined </w:t>
      </w:r>
      <w:r>
        <w:rPr>
          <w:rFonts w:hint="eastAsia"/>
          <w:lang w:val="en-US" w:eastAsia="zh-CN"/>
        </w:rPr>
        <w:t>in 38101-4. And the power imbalance defined in the current specification is 6 dB which is copied below</w:t>
      </w:r>
      <w:r>
        <w:rPr>
          <w:rFonts w:hint="eastAsia"/>
          <w:vertAlign w:val="superscript"/>
          <w:lang w:val="en-US" w:eastAsia="zh-CN"/>
        </w:rPr>
        <w:t>[2]</w:t>
      </w:r>
      <w:r>
        <w:rPr>
          <w:rFonts w:hint="eastAsia"/>
          <w:lang w:val="en-US" w:eastAsia="zh-CN"/>
        </w:rPr>
        <w:t>: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pStyle w:val="55"/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t>Table 5.2A.2.2-3: Minimum performance for FDD CA with 15 kHz SCS</w:t>
            </w:r>
          </w:p>
          <w:tbl>
            <w:tblPr>
              <w:tblStyle w:val="22"/>
              <w:tblW w:w="8373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28" w:type="dxa"/>
                <w:bottom w:w="0" w:type="dxa"/>
                <w:right w:w="28" w:type="dxa"/>
              </w:tblCellMar>
            </w:tblPr>
            <w:tblGrid>
              <w:gridCol w:w="804"/>
              <w:gridCol w:w="765"/>
              <w:gridCol w:w="851"/>
              <w:gridCol w:w="1119"/>
              <w:gridCol w:w="1049"/>
              <w:gridCol w:w="946"/>
              <w:gridCol w:w="946"/>
              <w:gridCol w:w="946"/>
              <w:gridCol w:w="94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28" w:type="dxa"/>
                  <w:bottom w:w="0" w:type="dxa"/>
                  <w:right w:w="28" w:type="dxa"/>
                </w:tblCellMar>
              </w:tblPrEx>
              <w:trPr>
                <w:trHeight w:val="128" w:hRule="atLeast"/>
                <w:jc w:val="center"/>
              </w:trPr>
              <w:tc>
                <w:tcPr>
                  <w:tcW w:w="804" w:type="dxa"/>
                  <w:vMerge w:val="restart"/>
                </w:tcPr>
                <w:p>
                  <w:pPr>
                    <w:pStyle w:val="64"/>
                  </w:pPr>
                  <w:r>
                    <w:t>Test Number</w:t>
                  </w:r>
                </w:p>
              </w:tc>
              <w:tc>
                <w:tcPr>
                  <w:tcW w:w="1616" w:type="dxa"/>
                  <w:gridSpan w:val="2"/>
                </w:tcPr>
                <w:p>
                  <w:pPr>
                    <w:pStyle w:val="64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Bandwidth (MHz)</w:t>
                  </w:r>
                </w:p>
              </w:tc>
              <w:tc>
                <w:tcPr>
                  <w:tcW w:w="2168" w:type="dxa"/>
                  <w:gridSpan w:val="2"/>
                </w:tcPr>
                <w:p>
                  <w:pPr>
                    <w:pStyle w:val="64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Reference channel</w:t>
                  </w:r>
                </w:p>
              </w:tc>
              <w:tc>
                <w:tcPr>
                  <w:tcW w:w="1892" w:type="dxa"/>
                  <w:gridSpan w:val="2"/>
                </w:tcPr>
                <w:p>
                  <w:pPr>
                    <w:pStyle w:val="64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P</w:t>
                  </w:r>
                  <w:r>
                    <w:rPr>
                      <w:lang w:eastAsia="zh-CN"/>
                    </w:rPr>
                    <w:t>o</w:t>
                  </w:r>
                  <w:r>
                    <w:rPr>
                      <w:rFonts w:hint="eastAsia"/>
                      <w:lang w:eastAsia="zh-CN"/>
                    </w:rPr>
                    <w:t>wer at antenna port (dBm</w:t>
                  </w:r>
                  <w:r>
                    <w:rPr>
                      <w:lang w:eastAsia="zh-CN"/>
                    </w:rPr>
                    <w:t>/Hz)</w:t>
                  </w:r>
                </w:p>
              </w:tc>
              <w:tc>
                <w:tcPr>
                  <w:tcW w:w="1893" w:type="dxa"/>
                  <w:gridSpan w:val="2"/>
                </w:tcPr>
                <w:p>
                  <w:pPr>
                    <w:pStyle w:val="64"/>
                  </w:pPr>
                  <w:r>
                    <w:t>Reference value</w:t>
                  </w:r>
                </w:p>
                <w:p>
                  <w:pPr>
                    <w:pStyle w:val="64"/>
                  </w:pPr>
                  <w:r>
                    <w:t>Fraction of Maximum</w:t>
                  </w:r>
                </w:p>
                <w:p>
                  <w:pPr>
                    <w:pStyle w:val="64"/>
                  </w:pPr>
                  <w:r>
                    <w:t>Throughput (%)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28" w:type="dxa"/>
                  <w:bottom w:w="0" w:type="dxa"/>
                  <w:right w:w="28" w:type="dxa"/>
                </w:tblCellMar>
              </w:tblPrEx>
              <w:trPr>
                <w:trHeight w:val="591" w:hRule="atLeast"/>
                <w:jc w:val="center"/>
              </w:trPr>
              <w:tc>
                <w:tcPr>
                  <w:tcW w:w="804" w:type="dxa"/>
                  <w:vMerge w:val="continue"/>
                  <w:tcBorders>
                    <w:bottom w:val="single" w:color="auto" w:sz="4" w:space="0"/>
                  </w:tcBorders>
                </w:tcPr>
                <w:p>
                  <w:pPr>
                    <w:pStyle w:val="64"/>
                    <w:rPr>
                      <w:rFonts w:eastAsia="??"/>
                      <w:sz w:val="15"/>
                    </w:rPr>
                  </w:pPr>
                </w:p>
              </w:tc>
              <w:tc>
                <w:tcPr>
                  <w:tcW w:w="765" w:type="dxa"/>
                  <w:tcBorders>
                    <w:bottom w:val="single" w:color="auto" w:sz="4" w:space="0"/>
                  </w:tcBorders>
                </w:tcPr>
                <w:p>
                  <w:pPr>
                    <w:pStyle w:val="64"/>
                  </w:pPr>
                  <w:r>
                    <w:rPr>
                      <w:rFonts w:hint="eastAsia"/>
                    </w:rPr>
                    <w:t>PCell</w:t>
                  </w:r>
                </w:p>
              </w:tc>
              <w:tc>
                <w:tcPr>
                  <w:tcW w:w="851" w:type="dxa"/>
                  <w:tcBorders>
                    <w:bottom w:val="single" w:color="auto" w:sz="4" w:space="0"/>
                  </w:tcBorders>
                </w:tcPr>
                <w:p>
                  <w:pPr>
                    <w:pStyle w:val="64"/>
                  </w:pPr>
                  <w:r>
                    <w:rPr>
                      <w:rFonts w:hint="eastAsia"/>
                    </w:rPr>
                    <w:t>SCell</w:t>
                  </w:r>
                </w:p>
              </w:tc>
              <w:tc>
                <w:tcPr>
                  <w:tcW w:w="1119" w:type="dxa"/>
                  <w:tcBorders>
                    <w:bottom w:val="single" w:color="auto" w:sz="4" w:space="0"/>
                  </w:tcBorders>
                </w:tcPr>
                <w:p>
                  <w:pPr>
                    <w:pStyle w:val="64"/>
                  </w:pPr>
                  <w:r>
                    <w:rPr>
                      <w:rFonts w:hint="eastAsia"/>
                    </w:rPr>
                    <w:t>PCell</w:t>
                  </w:r>
                </w:p>
              </w:tc>
              <w:tc>
                <w:tcPr>
                  <w:tcW w:w="1049" w:type="dxa"/>
                  <w:tcBorders>
                    <w:bottom w:val="single" w:color="auto" w:sz="4" w:space="0"/>
                  </w:tcBorders>
                </w:tcPr>
                <w:p>
                  <w:pPr>
                    <w:pStyle w:val="64"/>
                  </w:pPr>
                  <w:r>
                    <w:rPr>
                      <w:rFonts w:hint="eastAsia"/>
                    </w:rPr>
                    <w:t>SCell</w:t>
                  </w:r>
                </w:p>
              </w:tc>
              <w:tc>
                <w:tcPr>
                  <w:tcW w:w="946" w:type="dxa"/>
                  <w:tcBorders>
                    <w:bottom w:val="single" w:color="auto" w:sz="4" w:space="0"/>
                  </w:tcBorders>
                </w:tcPr>
                <w:p>
                  <w:pPr>
                    <w:pStyle w:val="64"/>
                    <w:rPr>
                      <w:lang w:eastAsia="zh-CN"/>
                    </w:rPr>
                  </w:pPr>
                  <w:r>
                    <w:rPr>
                      <w:position w:val="-14"/>
                    </w:rPr>
                    <w:object>
                      <v:shape id="_x0000_i1025" o:spt="75" type="#_x0000_t75" style="height:16.5pt;width:32.5pt;" o:ole="t" filled="f" o:preferrelative="t" stroked="f" coordsize="21600,21600">
                        <v:path/>
                        <v:fill on="f" focussize="0,0"/>
                        <v:stroke on="f" joinstyle="miter"/>
                        <v:imagedata r:id="rId11" o:title=""/>
                        <o:lock v:ext="edit" aspectratio="t"/>
                        <w10:wrap type="none"/>
                        <w10:anchorlock/>
                      </v:shape>
                      <o:OLEObject Type="Embed" ProgID="Equation.3" ShapeID="_x0000_i1025" DrawAspect="Content" ObjectID="_1468075725" r:id="rId10">
                        <o:LockedField>false</o:LockedField>
                      </o:OLEObject>
                    </w:object>
                  </w:r>
                  <w:r>
                    <w:rPr>
                      <w:lang w:eastAsia="zh-CN"/>
                    </w:rPr>
                    <w:t xml:space="preserve"> for </w:t>
                  </w:r>
                  <w:r>
                    <w:rPr>
                      <w:rFonts w:hint="eastAsia"/>
                    </w:rPr>
                    <w:t>PCell</w:t>
                  </w:r>
                </w:p>
              </w:tc>
              <w:tc>
                <w:tcPr>
                  <w:tcW w:w="946" w:type="dxa"/>
                  <w:tcBorders>
                    <w:bottom w:val="single" w:color="auto" w:sz="4" w:space="0"/>
                  </w:tcBorders>
                </w:tcPr>
                <w:p>
                  <w:pPr>
                    <w:pStyle w:val="64"/>
                  </w:pPr>
                  <w:r>
                    <w:rPr>
                      <w:position w:val="-14"/>
                    </w:rPr>
                    <w:object>
                      <v:shape id="_x0000_i1026" o:spt="75" type="#_x0000_t75" style="height:16.5pt;width:32.5pt;" o:ole="t" filled="f" o:preferrelative="t" stroked="f" coordsize="21600,21600">
                        <v:path/>
                        <v:fill on="f" focussize="0,0"/>
                        <v:stroke on="f" joinstyle="miter"/>
                        <v:imagedata r:id="rId13" o:title=""/>
                        <o:lock v:ext="edit" aspectratio="t"/>
                        <w10:wrap type="none"/>
                        <w10:anchorlock/>
                      </v:shape>
                      <o:OLEObject Type="Embed" ProgID="Equation.3" ShapeID="_x0000_i1026" DrawAspect="Content" ObjectID="_1468075726" r:id="rId12">
                        <o:LockedField>false</o:LockedField>
                      </o:OLEObject>
                    </w:object>
                  </w:r>
                  <w:r>
                    <w:rPr>
                      <w:lang w:eastAsia="zh-CN"/>
                    </w:rPr>
                    <w:t xml:space="preserve"> for</w:t>
                  </w:r>
                  <w:r>
                    <w:t xml:space="preserve"> Scell</w:t>
                  </w:r>
                </w:p>
              </w:tc>
              <w:tc>
                <w:tcPr>
                  <w:tcW w:w="946" w:type="dxa"/>
                  <w:tcBorders>
                    <w:bottom w:val="single" w:color="auto" w:sz="4" w:space="0"/>
                  </w:tcBorders>
                </w:tcPr>
                <w:p>
                  <w:pPr>
                    <w:pStyle w:val="64"/>
                    <w:rPr>
                      <w:rFonts w:eastAsia="??"/>
                    </w:rPr>
                  </w:pPr>
                  <w:r>
                    <w:rPr>
                      <w:rFonts w:hint="eastAsia"/>
                    </w:rPr>
                    <w:t>PCell</w:t>
                  </w:r>
                </w:p>
              </w:tc>
              <w:tc>
                <w:tcPr>
                  <w:tcW w:w="947" w:type="dxa"/>
                  <w:tcBorders>
                    <w:bottom w:val="single" w:color="auto" w:sz="4" w:space="0"/>
                  </w:tcBorders>
                </w:tcPr>
                <w:p>
                  <w:pPr>
                    <w:pStyle w:val="64"/>
                    <w:rPr>
                      <w:rFonts w:eastAsia="??"/>
                    </w:rPr>
                  </w:pPr>
                  <w:r>
                    <w:rPr>
                      <w:rFonts w:hint="eastAsia"/>
                    </w:rPr>
                    <w:t>SCell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28" w:type="dxa"/>
                  <w:bottom w:w="0" w:type="dxa"/>
                  <w:right w:w="28" w:type="dxa"/>
                </w:tblCellMar>
              </w:tblPrEx>
              <w:trPr>
                <w:trHeight w:val="92" w:hRule="atLeast"/>
                <w:jc w:val="center"/>
              </w:trPr>
              <w:tc>
                <w:tcPr>
                  <w:tcW w:w="804" w:type="dxa"/>
                </w:tcPr>
                <w:p>
                  <w:pPr>
                    <w:pStyle w:val="56"/>
                  </w:pPr>
                  <w:r>
                    <w:t>1</w:t>
                  </w:r>
                </w:p>
              </w:tc>
              <w:tc>
                <w:tcPr>
                  <w:tcW w:w="1616" w:type="dxa"/>
                  <w:gridSpan w:val="2"/>
                </w:tcPr>
                <w:p>
                  <w:pPr>
                    <w:pStyle w:val="56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Selected Channel bandwidth as per section 5.1.1.6 </w:t>
                  </w:r>
                </w:p>
              </w:tc>
              <w:tc>
                <w:tcPr>
                  <w:tcW w:w="1119" w:type="dxa"/>
                </w:tcPr>
                <w:p>
                  <w:pPr>
                    <w:pStyle w:val="56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Derived as per section </w:t>
                  </w:r>
                  <w:r>
                    <w:rPr>
                      <w:color w:val="000000"/>
                    </w:rPr>
                    <w:t>5.1.3.2 of TS 38.214 [12]</w:t>
                  </w:r>
                </w:p>
              </w:tc>
              <w:tc>
                <w:tcPr>
                  <w:tcW w:w="1049" w:type="dxa"/>
                </w:tcPr>
                <w:p>
                  <w:pPr>
                    <w:pStyle w:val="56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NA</w:t>
                  </w:r>
                </w:p>
              </w:tc>
              <w:tc>
                <w:tcPr>
                  <w:tcW w:w="946" w:type="dxa"/>
                </w:tcPr>
                <w:p>
                  <w:pPr>
                    <w:pStyle w:val="56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-112</w:t>
                  </w:r>
                </w:p>
              </w:tc>
              <w:tc>
                <w:tcPr>
                  <w:tcW w:w="946" w:type="dxa"/>
                </w:tcPr>
                <w:p>
                  <w:pPr>
                    <w:pStyle w:val="56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-106</w:t>
                  </w:r>
                </w:p>
              </w:tc>
              <w:tc>
                <w:tcPr>
                  <w:tcW w:w="946" w:type="dxa"/>
                </w:tcPr>
                <w:p>
                  <w:pPr>
                    <w:pStyle w:val="56"/>
                  </w:pPr>
                  <w:r>
                    <w:t>85</w:t>
                  </w:r>
                </w:p>
              </w:tc>
              <w:tc>
                <w:tcPr>
                  <w:tcW w:w="947" w:type="dxa"/>
                </w:tcPr>
                <w:p>
                  <w:pPr>
                    <w:pStyle w:val="56"/>
                  </w:pPr>
                  <w:r>
                    <w:t>NA</w:t>
                  </w:r>
                </w:p>
              </w:tc>
            </w:tr>
          </w:tbl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</w:p>
          <w:p>
            <w:pPr>
              <w:pStyle w:val="55"/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t>Table 5.2A.2.2-4: Minimum performance for TDD CA with 30 kHz SCS</w:t>
            </w:r>
          </w:p>
          <w:tbl>
            <w:tblPr>
              <w:tblStyle w:val="22"/>
              <w:tblW w:w="8373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28" w:type="dxa"/>
                <w:bottom w:w="0" w:type="dxa"/>
                <w:right w:w="28" w:type="dxa"/>
              </w:tblCellMar>
            </w:tblPr>
            <w:tblGrid>
              <w:gridCol w:w="804"/>
              <w:gridCol w:w="765"/>
              <w:gridCol w:w="851"/>
              <w:gridCol w:w="1119"/>
              <w:gridCol w:w="1049"/>
              <w:gridCol w:w="946"/>
              <w:gridCol w:w="946"/>
              <w:gridCol w:w="946"/>
              <w:gridCol w:w="94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28" w:type="dxa"/>
                  <w:bottom w:w="0" w:type="dxa"/>
                  <w:right w:w="28" w:type="dxa"/>
                </w:tblCellMar>
              </w:tblPrEx>
              <w:trPr>
                <w:trHeight w:val="128" w:hRule="atLeast"/>
                <w:jc w:val="center"/>
              </w:trPr>
              <w:tc>
                <w:tcPr>
                  <w:tcW w:w="804" w:type="dxa"/>
                  <w:vMerge w:val="restart"/>
                </w:tcPr>
                <w:p>
                  <w:pPr>
                    <w:pStyle w:val="64"/>
                  </w:pPr>
                  <w:r>
                    <w:t>Test Number</w:t>
                  </w:r>
                </w:p>
              </w:tc>
              <w:tc>
                <w:tcPr>
                  <w:tcW w:w="1616" w:type="dxa"/>
                  <w:gridSpan w:val="2"/>
                </w:tcPr>
                <w:p>
                  <w:pPr>
                    <w:pStyle w:val="64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Bandwidth (MHz)</w:t>
                  </w:r>
                </w:p>
              </w:tc>
              <w:tc>
                <w:tcPr>
                  <w:tcW w:w="2168" w:type="dxa"/>
                  <w:gridSpan w:val="2"/>
                </w:tcPr>
                <w:p>
                  <w:pPr>
                    <w:pStyle w:val="64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Reference channel</w:t>
                  </w:r>
                </w:p>
              </w:tc>
              <w:tc>
                <w:tcPr>
                  <w:tcW w:w="1892" w:type="dxa"/>
                  <w:gridSpan w:val="2"/>
                </w:tcPr>
                <w:p>
                  <w:pPr>
                    <w:pStyle w:val="64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P</w:t>
                  </w:r>
                  <w:r>
                    <w:rPr>
                      <w:lang w:eastAsia="zh-CN"/>
                    </w:rPr>
                    <w:t>o</w:t>
                  </w:r>
                  <w:r>
                    <w:rPr>
                      <w:rFonts w:hint="eastAsia"/>
                      <w:lang w:eastAsia="zh-CN"/>
                    </w:rPr>
                    <w:t>wer at antenna port (dBm/</w:t>
                  </w:r>
                  <w:r>
                    <w:rPr>
                      <w:lang w:eastAsia="zh-CN"/>
                    </w:rPr>
                    <w:t>Hz)</w:t>
                  </w:r>
                </w:p>
              </w:tc>
              <w:tc>
                <w:tcPr>
                  <w:tcW w:w="1893" w:type="dxa"/>
                  <w:gridSpan w:val="2"/>
                </w:tcPr>
                <w:p>
                  <w:pPr>
                    <w:pStyle w:val="64"/>
                  </w:pPr>
                  <w:r>
                    <w:t>Reference value</w:t>
                  </w:r>
                </w:p>
                <w:p>
                  <w:pPr>
                    <w:pStyle w:val="64"/>
                  </w:pPr>
                  <w:r>
                    <w:t>Fraction of Maximum</w:t>
                  </w:r>
                </w:p>
                <w:p>
                  <w:pPr>
                    <w:pStyle w:val="64"/>
                  </w:pPr>
                  <w:r>
                    <w:t>Throughput (%)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28" w:type="dxa"/>
                  <w:bottom w:w="0" w:type="dxa"/>
                  <w:right w:w="28" w:type="dxa"/>
                </w:tblCellMar>
              </w:tblPrEx>
              <w:trPr>
                <w:trHeight w:val="591" w:hRule="atLeast"/>
                <w:jc w:val="center"/>
              </w:trPr>
              <w:tc>
                <w:tcPr>
                  <w:tcW w:w="804" w:type="dxa"/>
                  <w:vMerge w:val="continue"/>
                  <w:tcBorders>
                    <w:bottom w:val="single" w:color="auto" w:sz="4" w:space="0"/>
                  </w:tcBorders>
                </w:tcPr>
                <w:p>
                  <w:pPr>
                    <w:pStyle w:val="64"/>
                    <w:rPr>
                      <w:rFonts w:eastAsia="??"/>
                      <w:sz w:val="15"/>
                    </w:rPr>
                  </w:pPr>
                </w:p>
              </w:tc>
              <w:tc>
                <w:tcPr>
                  <w:tcW w:w="765" w:type="dxa"/>
                  <w:tcBorders>
                    <w:bottom w:val="single" w:color="auto" w:sz="4" w:space="0"/>
                  </w:tcBorders>
                </w:tcPr>
                <w:p>
                  <w:pPr>
                    <w:pStyle w:val="64"/>
                  </w:pPr>
                  <w:r>
                    <w:rPr>
                      <w:rFonts w:hint="eastAsia"/>
                    </w:rPr>
                    <w:t>PCell</w:t>
                  </w:r>
                </w:p>
              </w:tc>
              <w:tc>
                <w:tcPr>
                  <w:tcW w:w="851" w:type="dxa"/>
                  <w:tcBorders>
                    <w:bottom w:val="single" w:color="auto" w:sz="4" w:space="0"/>
                  </w:tcBorders>
                </w:tcPr>
                <w:p>
                  <w:pPr>
                    <w:pStyle w:val="64"/>
                  </w:pPr>
                  <w:r>
                    <w:rPr>
                      <w:rFonts w:hint="eastAsia"/>
                    </w:rPr>
                    <w:t>SCell</w:t>
                  </w:r>
                </w:p>
              </w:tc>
              <w:tc>
                <w:tcPr>
                  <w:tcW w:w="1119" w:type="dxa"/>
                  <w:tcBorders>
                    <w:bottom w:val="single" w:color="auto" w:sz="4" w:space="0"/>
                  </w:tcBorders>
                </w:tcPr>
                <w:p>
                  <w:pPr>
                    <w:pStyle w:val="64"/>
                  </w:pPr>
                  <w:r>
                    <w:rPr>
                      <w:rFonts w:hint="eastAsia"/>
                    </w:rPr>
                    <w:t>PCell</w:t>
                  </w:r>
                </w:p>
              </w:tc>
              <w:tc>
                <w:tcPr>
                  <w:tcW w:w="1049" w:type="dxa"/>
                  <w:tcBorders>
                    <w:bottom w:val="single" w:color="auto" w:sz="4" w:space="0"/>
                  </w:tcBorders>
                </w:tcPr>
                <w:p>
                  <w:pPr>
                    <w:pStyle w:val="64"/>
                  </w:pPr>
                  <w:r>
                    <w:rPr>
                      <w:rFonts w:hint="eastAsia"/>
                    </w:rPr>
                    <w:t>SCell</w:t>
                  </w:r>
                </w:p>
              </w:tc>
              <w:tc>
                <w:tcPr>
                  <w:tcW w:w="946" w:type="dxa"/>
                  <w:tcBorders>
                    <w:bottom w:val="single" w:color="auto" w:sz="4" w:space="0"/>
                  </w:tcBorders>
                </w:tcPr>
                <w:p>
                  <w:pPr>
                    <w:pStyle w:val="64"/>
                    <w:rPr>
                      <w:lang w:eastAsia="zh-CN"/>
                    </w:rPr>
                  </w:pPr>
                  <w:r>
                    <w:rPr>
                      <w:position w:val="-14"/>
                    </w:rPr>
                    <w:object>
                      <v:shape id="_x0000_i1027" o:spt="75" type="#_x0000_t75" style="height:16.5pt;width:32.5pt;" o:ole="t" filled="f" o:preferrelative="t" stroked="f" coordsize="21600,21600">
                        <v:path/>
                        <v:fill on="f" focussize="0,0"/>
                        <v:stroke on="f" joinstyle="miter"/>
                        <v:imagedata r:id="rId11" o:title=""/>
                        <o:lock v:ext="edit" aspectratio="t"/>
                        <w10:wrap type="none"/>
                        <w10:anchorlock/>
                      </v:shape>
                      <o:OLEObject Type="Embed" ProgID="Equation.3" ShapeID="_x0000_i1027" DrawAspect="Content" ObjectID="_1468075727" r:id="rId14">
                        <o:LockedField>false</o:LockedField>
                      </o:OLEObject>
                    </w:object>
                  </w:r>
                  <w:r>
                    <w:rPr>
                      <w:rFonts w:hint="eastAsia"/>
                      <w:lang w:eastAsia="zh-CN"/>
                    </w:rPr>
                    <w:t xml:space="preserve"> for </w:t>
                  </w:r>
                  <w:r>
                    <w:rPr>
                      <w:rFonts w:hint="eastAsia"/>
                    </w:rPr>
                    <w:t>PCell</w:t>
                  </w:r>
                </w:p>
              </w:tc>
              <w:tc>
                <w:tcPr>
                  <w:tcW w:w="946" w:type="dxa"/>
                  <w:tcBorders>
                    <w:bottom w:val="single" w:color="auto" w:sz="4" w:space="0"/>
                  </w:tcBorders>
                </w:tcPr>
                <w:p>
                  <w:pPr>
                    <w:pStyle w:val="64"/>
                  </w:pPr>
                  <w:r>
                    <w:rPr>
                      <w:position w:val="-14"/>
                    </w:rPr>
                    <w:object>
                      <v:shape id="_x0000_i1028" o:spt="75" type="#_x0000_t75" style="height:16.5pt;width:32.5pt;" o:ole="t" filled="f" o:preferrelative="t" stroked="f" coordsize="21600,21600">
                        <v:path/>
                        <v:fill on="f" focussize="0,0"/>
                        <v:stroke on="f" joinstyle="miter"/>
                        <v:imagedata r:id="rId13" o:title=""/>
                        <o:lock v:ext="edit" aspectratio="t"/>
                        <w10:wrap type="none"/>
                        <w10:anchorlock/>
                      </v:shape>
                      <o:OLEObject Type="Embed" ProgID="Equation.3" ShapeID="_x0000_i1028" DrawAspect="Content" ObjectID="_1468075728" r:id="rId15">
                        <o:LockedField>false</o:LockedField>
                      </o:OLEObject>
                    </w:object>
                  </w:r>
                  <w:r>
                    <w:rPr>
                      <w:rFonts w:hint="eastAsia"/>
                      <w:lang w:eastAsia="zh-CN"/>
                    </w:rPr>
                    <w:t xml:space="preserve"> for</w:t>
                  </w:r>
                  <w:r>
                    <w:rPr>
                      <w:rFonts w:hint="eastAsia"/>
                    </w:rPr>
                    <w:t xml:space="preserve"> S</w:t>
                  </w:r>
                  <w:r>
                    <w:t>cell</w:t>
                  </w:r>
                </w:p>
              </w:tc>
              <w:tc>
                <w:tcPr>
                  <w:tcW w:w="946" w:type="dxa"/>
                  <w:tcBorders>
                    <w:bottom w:val="single" w:color="auto" w:sz="4" w:space="0"/>
                  </w:tcBorders>
                </w:tcPr>
                <w:p>
                  <w:pPr>
                    <w:pStyle w:val="64"/>
                    <w:rPr>
                      <w:rFonts w:eastAsia="??"/>
                    </w:rPr>
                  </w:pPr>
                  <w:r>
                    <w:rPr>
                      <w:rFonts w:hint="eastAsia"/>
                    </w:rPr>
                    <w:t>PCell</w:t>
                  </w:r>
                </w:p>
              </w:tc>
              <w:tc>
                <w:tcPr>
                  <w:tcW w:w="947" w:type="dxa"/>
                  <w:tcBorders>
                    <w:bottom w:val="single" w:color="auto" w:sz="4" w:space="0"/>
                  </w:tcBorders>
                </w:tcPr>
                <w:p>
                  <w:pPr>
                    <w:pStyle w:val="64"/>
                    <w:rPr>
                      <w:rFonts w:eastAsia="??"/>
                    </w:rPr>
                  </w:pPr>
                  <w:r>
                    <w:rPr>
                      <w:rFonts w:hint="eastAsia"/>
                    </w:rPr>
                    <w:t>SCell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28" w:type="dxa"/>
                  <w:bottom w:w="0" w:type="dxa"/>
                  <w:right w:w="28" w:type="dxa"/>
                </w:tblCellMar>
              </w:tblPrEx>
              <w:trPr>
                <w:trHeight w:val="92" w:hRule="atLeast"/>
                <w:jc w:val="center"/>
              </w:trPr>
              <w:tc>
                <w:tcPr>
                  <w:tcW w:w="804" w:type="dxa"/>
                </w:tcPr>
                <w:p>
                  <w:pPr>
                    <w:pStyle w:val="56"/>
                  </w:pPr>
                  <w:r>
                    <w:t>1</w:t>
                  </w:r>
                </w:p>
              </w:tc>
              <w:tc>
                <w:tcPr>
                  <w:tcW w:w="1616" w:type="dxa"/>
                  <w:gridSpan w:val="2"/>
                </w:tcPr>
                <w:p>
                  <w:pPr>
                    <w:pStyle w:val="56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Selected Channel bandwidth as per section 5.1.1.6</w:t>
                  </w:r>
                </w:p>
              </w:tc>
              <w:tc>
                <w:tcPr>
                  <w:tcW w:w="1119" w:type="dxa"/>
                </w:tcPr>
                <w:p>
                  <w:pPr>
                    <w:pStyle w:val="56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Derived as per section </w:t>
                  </w:r>
                  <w:r>
                    <w:rPr>
                      <w:color w:val="000000"/>
                    </w:rPr>
                    <w:t>5.1.3.2 of TS 38.214 [12]</w:t>
                  </w:r>
                </w:p>
              </w:tc>
              <w:tc>
                <w:tcPr>
                  <w:tcW w:w="1049" w:type="dxa"/>
                </w:tcPr>
                <w:p>
                  <w:pPr>
                    <w:pStyle w:val="56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NA</w:t>
                  </w:r>
                </w:p>
              </w:tc>
              <w:tc>
                <w:tcPr>
                  <w:tcW w:w="946" w:type="dxa"/>
                </w:tcPr>
                <w:p>
                  <w:pPr>
                    <w:pStyle w:val="56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-112</w:t>
                  </w:r>
                </w:p>
              </w:tc>
              <w:tc>
                <w:tcPr>
                  <w:tcW w:w="946" w:type="dxa"/>
                </w:tcPr>
                <w:p>
                  <w:pPr>
                    <w:pStyle w:val="56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-106</w:t>
                  </w:r>
                </w:p>
              </w:tc>
              <w:tc>
                <w:tcPr>
                  <w:tcW w:w="946" w:type="dxa"/>
                </w:tcPr>
                <w:p>
                  <w:pPr>
                    <w:pStyle w:val="56"/>
                  </w:pPr>
                  <w:r>
                    <w:t>85</w:t>
                  </w:r>
                </w:p>
              </w:tc>
              <w:tc>
                <w:tcPr>
                  <w:tcW w:w="947" w:type="dxa"/>
                </w:tcPr>
                <w:p>
                  <w:pPr>
                    <w:pStyle w:val="56"/>
                  </w:pPr>
                  <w:r>
                    <w:t>NA</w:t>
                  </w:r>
                </w:p>
              </w:tc>
            </w:tr>
          </w:tbl>
          <w:p>
            <w:pPr>
              <w:pStyle w:val="62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ind w:left="0" w:firstLine="0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pStyle w:val="55"/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rPr>
                <w:rFonts w:cs="Arial"/>
              </w:rPr>
              <w:t>Table 9.5B.1.1.1-1: Minimum performance for FDD EN-DC with 15kHz SCS</w:t>
            </w:r>
          </w:p>
          <w:tbl>
            <w:tblPr>
              <w:tblStyle w:val="22"/>
              <w:tblW w:w="8655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97"/>
              <w:gridCol w:w="1620"/>
              <w:gridCol w:w="1119"/>
              <w:gridCol w:w="1049"/>
              <w:gridCol w:w="1122"/>
              <w:gridCol w:w="946"/>
              <w:gridCol w:w="946"/>
              <w:gridCol w:w="947"/>
              <w:gridCol w:w="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97" w:type="dxa"/>
                  <w:vMerge w:val="restart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64"/>
                  </w:pPr>
                  <w:r>
                    <w:t>Test Number</w:t>
                  </w:r>
                </w:p>
              </w:tc>
              <w:tc>
                <w:tcPr>
                  <w:tcW w:w="162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64"/>
                  </w:pPr>
                  <w:r>
                    <w:rPr>
                      <w:rFonts w:eastAsia="MS Mincho"/>
                    </w:rPr>
                    <w:t>Bandwidth (MHz)</w:t>
                  </w:r>
                </w:p>
              </w:tc>
              <w:tc>
                <w:tcPr>
                  <w:tcW w:w="2168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64"/>
                    <w:rPr>
                      <w:rFonts w:eastAsia="MS Mincho"/>
                    </w:rPr>
                  </w:pPr>
                  <w:r>
                    <w:rPr>
                      <w:rFonts w:eastAsia="MS Mincho"/>
                    </w:rPr>
                    <w:t>Reference channel</w:t>
                  </w:r>
                </w:p>
              </w:tc>
              <w:tc>
                <w:tcPr>
                  <w:tcW w:w="2068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64"/>
                    <w:rPr>
                      <w:rFonts w:eastAsia="MS Mincho"/>
                    </w:rPr>
                  </w:pPr>
                  <w:r>
                    <w:rPr>
                      <w:rFonts w:hint="eastAsia" w:eastAsia="MS Mincho"/>
                    </w:rPr>
                    <w:t>P</w:t>
                  </w:r>
                  <w:r>
                    <w:rPr>
                      <w:rFonts w:eastAsia="MS Mincho"/>
                    </w:rPr>
                    <w:t>o</w:t>
                  </w:r>
                  <w:r>
                    <w:rPr>
                      <w:rFonts w:hint="eastAsia" w:eastAsia="MS Mincho"/>
                    </w:rPr>
                    <w:t>wer at antenna port (dBm/</w:t>
                  </w:r>
                  <w:r>
                    <w:rPr>
                      <w:rFonts w:eastAsia="MS Mincho"/>
                    </w:rPr>
                    <w:t>Hz)</w:t>
                  </w:r>
                </w:p>
              </w:tc>
              <w:tc>
                <w:tcPr>
                  <w:tcW w:w="1902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64"/>
                    <w:rPr>
                      <w:rFonts w:eastAsia="MS Mincho"/>
                    </w:rPr>
                  </w:pPr>
                  <w:r>
                    <w:rPr>
                      <w:rFonts w:eastAsia="MS Mincho"/>
                    </w:rPr>
                    <w:t>Reference value</w:t>
                  </w:r>
                </w:p>
                <w:p>
                  <w:pPr>
                    <w:pStyle w:val="64"/>
                    <w:rPr>
                      <w:rFonts w:eastAsia="MS Mincho"/>
                    </w:rPr>
                  </w:pPr>
                  <w:r>
                    <w:rPr>
                      <w:rFonts w:eastAsia="MS Mincho"/>
                    </w:rPr>
                    <w:t>Fraction of Maximum</w:t>
                  </w:r>
                </w:p>
                <w:p>
                  <w:pPr>
                    <w:pStyle w:val="64"/>
                    <w:rPr>
                      <w:rFonts w:eastAsia="MS Mincho"/>
                    </w:rPr>
                  </w:pPr>
                  <w:r>
                    <w:rPr>
                      <w:rFonts w:eastAsia="MS Mincho"/>
                    </w:rPr>
                    <w:t>Throughput (%)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28" w:type="dxa"/>
                  <w:bottom w:w="0" w:type="dxa"/>
                  <w:right w:w="28" w:type="dxa"/>
                </w:tblCellMar>
              </w:tblPrEx>
              <w:trPr>
                <w:gridAfter w:val="1"/>
                <w:wAfter w:w="9" w:type="dxa"/>
                <w:trHeight w:val="591" w:hRule="atLeast"/>
                <w:jc w:val="center"/>
              </w:trPr>
              <w:tc>
                <w:tcPr>
                  <w:tcW w:w="897" w:type="dxa"/>
                  <w:vMerge w:val="continue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4"/>
                    <w:rPr>
                      <w:rFonts w:eastAsia="??"/>
                    </w:rPr>
                  </w:pPr>
                </w:p>
              </w:tc>
              <w:tc>
                <w:tcPr>
                  <w:tcW w:w="1620" w:type="dxa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pStyle w:val="64"/>
                  </w:pPr>
                  <w:r>
                    <w:t>NR SCG CC</w:t>
                  </w:r>
                </w:p>
              </w:tc>
              <w:tc>
                <w:tcPr>
                  <w:tcW w:w="1119" w:type="dxa"/>
                  <w:tcBorders>
                    <w:bottom w:val="single" w:color="auto" w:sz="4" w:space="0"/>
                  </w:tcBorders>
                </w:tcPr>
                <w:p>
                  <w:pPr>
                    <w:pStyle w:val="64"/>
                    <w:rPr>
                      <w:lang w:val="sv-FI"/>
                    </w:rPr>
                  </w:pPr>
                  <w:r>
                    <w:rPr>
                      <w:lang w:val="sv-FI"/>
                    </w:rPr>
                    <w:t>E-UTRA MCG CC</w:t>
                  </w:r>
                </w:p>
                <w:p>
                  <w:pPr>
                    <w:pStyle w:val="64"/>
                    <w:rPr>
                      <w:lang w:val="sv-FI"/>
                    </w:rPr>
                  </w:pPr>
                  <w:r>
                    <w:rPr>
                      <w:lang w:val="sv-FI"/>
                    </w:rPr>
                    <w:t>(Note 1)</w:t>
                  </w:r>
                </w:p>
              </w:tc>
              <w:tc>
                <w:tcPr>
                  <w:tcW w:w="1049" w:type="dxa"/>
                  <w:tcBorders>
                    <w:bottom w:val="single" w:color="auto" w:sz="4" w:space="0"/>
                  </w:tcBorders>
                </w:tcPr>
                <w:p>
                  <w:pPr>
                    <w:pStyle w:val="64"/>
                  </w:pPr>
                  <w:r>
                    <w:t>NR SCG CC</w:t>
                  </w:r>
                </w:p>
              </w:tc>
              <w:tc>
                <w:tcPr>
                  <w:tcW w:w="1122" w:type="dxa"/>
                  <w:tcBorders>
                    <w:bottom w:val="single" w:color="auto" w:sz="4" w:space="0"/>
                  </w:tcBorders>
                </w:tcPr>
                <w:p>
                  <w:pPr>
                    <w:pStyle w:val="64"/>
                    <w:rPr>
                      <w:lang w:eastAsia="zh-CN"/>
                    </w:rPr>
                  </w:pPr>
                  <w:r>
                    <w:t>E-UTRA MCG CC</w:t>
                  </w:r>
                </w:p>
              </w:tc>
              <w:tc>
                <w:tcPr>
                  <w:tcW w:w="946" w:type="dxa"/>
                  <w:tcBorders>
                    <w:bottom w:val="single" w:color="auto" w:sz="4" w:space="0"/>
                  </w:tcBorders>
                </w:tcPr>
                <w:p>
                  <w:pPr>
                    <w:pStyle w:val="64"/>
                  </w:pPr>
                  <w:r>
                    <w:t>NR SCG CC</w:t>
                  </w:r>
                </w:p>
              </w:tc>
              <w:tc>
                <w:tcPr>
                  <w:tcW w:w="946" w:type="dxa"/>
                  <w:tcBorders>
                    <w:bottom w:val="single" w:color="auto" w:sz="4" w:space="0"/>
                  </w:tcBorders>
                </w:tcPr>
                <w:p>
                  <w:pPr>
                    <w:pStyle w:val="64"/>
                    <w:rPr>
                      <w:lang w:val="sv-FI"/>
                    </w:rPr>
                  </w:pPr>
                  <w:r>
                    <w:rPr>
                      <w:lang w:val="sv-FI"/>
                    </w:rPr>
                    <w:t>E-UTRA MCG CC</w:t>
                  </w:r>
                </w:p>
                <w:p>
                  <w:pPr>
                    <w:pStyle w:val="64"/>
                    <w:rPr>
                      <w:rFonts w:eastAsia="??"/>
                      <w:lang w:val="sv-FI"/>
                    </w:rPr>
                  </w:pPr>
                  <w:r>
                    <w:rPr>
                      <w:lang w:val="sv-FI"/>
                    </w:rPr>
                    <w:t>(Note 1)</w:t>
                  </w:r>
                </w:p>
              </w:tc>
              <w:tc>
                <w:tcPr>
                  <w:tcW w:w="947" w:type="dxa"/>
                  <w:tcBorders>
                    <w:bottom w:val="single" w:color="auto" w:sz="4" w:space="0"/>
                  </w:tcBorders>
                </w:tcPr>
                <w:p>
                  <w:pPr>
                    <w:pStyle w:val="64"/>
                    <w:rPr>
                      <w:rFonts w:eastAsia="??"/>
                    </w:rPr>
                  </w:pPr>
                  <w:r>
                    <w:t>NR SCG CC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28" w:type="dxa"/>
                  <w:bottom w:w="0" w:type="dxa"/>
                  <w:right w:w="28" w:type="dxa"/>
                </w:tblCellMar>
              </w:tblPrEx>
              <w:trPr>
                <w:gridAfter w:val="1"/>
                <w:wAfter w:w="9" w:type="dxa"/>
                <w:trHeight w:val="92" w:hRule="atLeast"/>
                <w:jc w:val="center"/>
              </w:trPr>
              <w:tc>
                <w:tcPr>
                  <w:tcW w:w="897" w:type="dxa"/>
                </w:tcPr>
                <w:p>
                  <w:pPr>
                    <w:pStyle w:val="56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1</w:t>
                  </w:r>
                </w:p>
              </w:tc>
              <w:tc>
                <w:tcPr>
                  <w:tcW w:w="1620" w:type="dxa"/>
                </w:tcPr>
                <w:p>
                  <w:pPr>
                    <w:pStyle w:val="56"/>
                    <w:rPr>
                      <w:rFonts w:cs="Arial"/>
                      <w:szCs w:val="18"/>
                      <w:lang w:eastAsia="zh-CN"/>
                    </w:rPr>
                  </w:pPr>
                  <w:r>
                    <w:rPr>
                      <w:rFonts w:eastAsia="宋体" w:cs="Arial"/>
                      <w:szCs w:val="18"/>
                    </w:rPr>
                    <w:t>Selected EN-DC combination as per the test procedure</w:t>
                  </w:r>
                </w:p>
              </w:tc>
              <w:tc>
                <w:tcPr>
                  <w:tcW w:w="1119" w:type="dxa"/>
                </w:tcPr>
                <w:p>
                  <w:pPr>
                    <w:pStyle w:val="56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NA</w:t>
                  </w:r>
                </w:p>
              </w:tc>
              <w:tc>
                <w:tcPr>
                  <w:tcW w:w="1049" w:type="dxa"/>
                </w:tcPr>
                <w:p>
                  <w:pPr>
                    <w:pStyle w:val="56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 xml:space="preserve">Derived as per section </w:t>
                  </w:r>
                  <w:r>
                    <w:t>5.1.3.2 of TS 38.214 [12]</w:t>
                  </w:r>
                </w:p>
              </w:tc>
              <w:tc>
                <w:tcPr>
                  <w:tcW w:w="1122" w:type="dxa"/>
                </w:tcPr>
                <w:p>
                  <w:pPr>
                    <w:pStyle w:val="56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-106</w:t>
                  </w:r>
                </w:p>
              </w:tc>
              <w:tc>
                <w:tcPr>
                  <w:tcW w:w="946" w:type="dxa"/>
                </w:tcPr>
                <w:p>
                  <w:pPr>
                    <w:pStyle w:val="56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-112</w:t>
                  </w:r>
                </w:p>
              </w:tc>
              <w:tc>
                <w:tcPr>
                  <w:tcW w:w="946" w:type="dxa"/>
                </w:tcPr>
                <w:p>
                  <w:pPr>
                    <w:pStyle w:val="56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NA</w:t>
                  </w:r>
                </w:p>
              </w:tc>
              <w:tc>
                <w:tcPr>
                  <w:tcW w:w="947" w:type="dxa"/>
                </w:tcPr>
                <w:p>
                  <w:pPr>
                    <w:pStyle w:val="56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85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655" w:type="dxa"/>
                  <w:gridSpan w:val="9"/>
                  <w:shd w:val="clear" w:color="auto" w:fill="auto"/>
                  <w:vAlign w:val="center"/>
                </w:tcPr>
                <w:p>
                  <w:pPr>
                    <w:pStyle w:val="69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Note 1:</w:t>
                  </w:r>
                  <w:r>
                    <w:rPr>
                      <w:rFonts w:eastAsia="宋体"/>
                      <w:lang w:eastAsia="zh-CN"/>
                    </w:rPr>
                    <w:tab/>
                  </w:r>
                  <w:r>
                    <w:t xml:space="preserve">The number of E-UTRA MCG carriers depend on the intra-band and inter-band contiguous </w:t>
                  </w:r>
                  <w:r>
                    <w:br w:type="textWrapping"/>
                  </w:r>
                  <w:r>
                    <w:t>EN-DC configuration and bandwidth combination set</w:t>
                  </w:r>
                </w:p>
              </w:tc>
            </w:tr>
          </w:tbl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</w:p>
          <w:p>
            <w:pPr>
              <w:pStyle w:val="55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 w:cs="Arial"/>
              </w:rPr>
            </w:pPr>
            <w:r>
              <w:rPr>
                <w:rFonts w:cs="Arial"/>
              </w:rPr>
              <w:t>Table 9.5B.1.1.1-2: Minimum performance for TDD EN-DC with 30kHz SCS</w:t>
            </w:r>
          </w:p>
          <w:tbl>
            <w:tblPr>
              <w:tblStyle w:val="22"/>
              <w:tblW w:w="8655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97"/>
              <w:gridCol w:w="1620"/>
              <w:gridCol w:w="1119"/>
              <w:gridCol w:w="1049"/>
              <w:gridCol w:w="1122"/>
              <w:gridCol w:w="946"/>
              <w:gridCol w:w="946"/>
              <w:gridCol w:w="947"/>
              <w:gridCol w:w="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97" w:type="dxa"/>
                  <w:vMerge w:val="restart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64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Test Number</w:t>
                  </w:r>
                </w:p>
              </w:tc>
              <w:tc>
                <w:tcPr>
                  <w:tcW w:w="162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64"/>
                    <w:rPr>
                      <w:rFonts w:cs="Arial"/>
                      <w:szCs w:val="18"/>
                    </w:rPr>
                  </w:pPr>
                  <w:r>
                    <w:rPr>
                      <w:rFonts w:eastAsia="MS Mincho" w:cs="Arial"/>
                      <w:szCs w:val="18"/>
                    </w:rPr>
                    <w:t>Bandwidth (MHz)</w:t>
                  </w:r>
                </w:p>
              </w:tc>
              <w:tc>
                <w:tcPr>
                  <w:tcW w:w="2168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64"/>
                    <w:rPr>
                      <w:rFonts w:eastAsia="MS Mincho" w:cs="Arial"/>
                      <w:szCs w:val="18"/>
                    </w:rPr>
                  </w:pPr>
                  <w:r>
                    <w:rPr>
                      <w:rFonts w:eastAsia="MS Mincho" w:cs="Arial"/>
                      <w:szCs w:val="18"/>
                    </w:rPr>
                    <w:t>Reference channel</w:t>
                  </w:r>
                </w:p>
              </w:tc>
              <w:tc>
                <w:tcPr>
                  <w:tcW w:w="2068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64"/>
                    <w:rPr>
                      <w:rFonts w:eastAsia="MS Mincho"/>
                    </w:rPr>
                  </w:pPr>
                  <w:r>
                    <w:rPr>
                      <w:rFonts w:hint="eastAsia" w:eastAsia="MS Mincho"/>
                    </w:rPr>
                    <w:t>P</w:t>
                  </w:r>
                  <w:r>
                    <w:rPr>
                      <w:rFonts w:eastAsia="MS Mincho"/>
                    </w:rPr>
                    <w:t>o</w:t>
                  </w:r>
                  <w:r>
                    <w:rPr>
                      <w:rFonts w:hint="eastAsia" w:eastAsia="MS Mincho"/>
                    </w:rPr>
                    <w:t>wer at antenna port (dBm/</w:t>
                  </w:r>
                  <w:r>
                    <w:rPr>
                      <w:rFonts w:eastAsia="MS Mincho"/>
                    </w:rPr>
                    <w:t>Hz)</w:t>
                  </w:r>
                </w:p>
              </w:tc>
              <w:tc>
                <w:tcPr>
                  <w:tcW w:w="1902" w:type="dxa"/>
                  <w:gridSpan w:val="3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pStyle w:val="64"/>
                    <w:rPr>
                      <w:rFonts w:eastAsia="MS Mincho"/>
                    </w:rPr>
                  </w:pPr>
                  <w:r>
                    <w:rPr>
                      <w:rFonts w:eastAsia="MS Mincho"/>
                    </w:rPr>
                    <w:t>Reference value</w:t>
                  </w:r>
                </w:p>
                <w:p>
                  <w:pPr>
                    <w:pStyle w:val="64"/>
                    <w:rPr>
                      <w:rFonts w:eastAsia="MS Mincho"/>
                    </w:rPr>
                  </w:pPr>
                  <w:r>
                    <w:rPr>
                      <w:rFonts w:eastAsia="MS Mincho"/>
                    </w:rPr>
                    <w:t>Fraction of Maximum</w:t>
                  </w:r>
                </w:p>
                <w:p>
                  <w:pPr>
                    <w:pStyle w:val="64"/>
                    <w:rPr>
                      <w:rFonts w:eastAsia="MS Mincho"/>
                    </w:rPr>
                  </w:pPr>
                  <w:r>
                    <w:rPr>
                      <w:rFonts w:eastAsia="MS Mincho"/>
                    </w:rPr>
                    <w:t>Throughput (%)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28" w:type="dxa"/>
                  <w:bottom w:w="0" w:type="dxa"/>
                  <w:right w:w="28" w:type="dxa"/>
                </w:tblCellMar>
              </w:tblPrEx>
              <w:trPr>
                <w:gridAfter w:val="1"/>
                <w:wAfter w:w="9" w:type="dxa"/>
                <w:trHeight w:val="591" w:hRule="atLeast"/>
                <w:jc w:val="center"/>
              </w:trPr>
              <w:tc>
                <w:tcPr>
                  <w:tcW w:w="897" w:type="dxa"/>
                  <w:vMerge w:val="continue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64"/>
                    <w:rPr>
                      <w:rFonts w:eastAsia="??" w:cs="Arial"/>
                      <w:szCs w:val="18"/>
                    </w:rPr>
                  </w:pPr>
                </w:p>
              </w:tc>
              <w:tc>
                <w:tcPr>
                  <w:tcW w:w="1620" w:type="dxa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pStyle w:val="64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NR SCG CC</w:t>
                  </w:r>
                </w:p>
              </w:tc>
              <w:tc>
                <w:tcPr>
                  <w:tcW w:w="1119" w:type="dxa"/>
                  <w:tcBorders>
                    <w:bottom w:val="single" w:color="auto" w:sz="4" w:space="0"/>
                  </w:tcBorders>
                </w:tcPr>
                <w:p>
                  <w:pPr>
                    <w:pStyle w:val="64"/>
                    <w:rPr>
                      <w:rFonts w:cs="Arial"/>
                      <w:szCs w:val="18"/>
                      <w:lang w:val="sv-FI"/>
                    </w:rPr>
                  </w:pPr>
                  <w:r>
                    <w:rPr>
                      <w:rFonts w:cs="Arial"/>
                      <w:szCs w:val="18"/>
                      <w:lang w:val="sv-FI"/>
                    </w:rPr>
                    <w:t>E-UTRA MCG CC</w:t>
                  </w:r>
                </w:p>
                <w:p>
                  <w:pPr>
                    <w:pStyle w:val="64"/>
                    <w:rPr>
                      <w:rFonts w:cs="Arial"/>
                      <w:szCs w:val="18"/>
                      <w:lang w:val="sv-FI"/>
                    </w:rPr>
                  </w:pPr>
                  <w:r>
                    <w:rPr>
                      <w:rFonts w:cs="Arial"/>
                      <w:szCs w:val="18"/>
                      <w:lang w:val="sv-FI"/>
                    </w:rPr>
                    <w:t>(Note 1)</w:t>
                  </w:r>
                </w:p>
              </w:tc>
              <w:tc>
                <w:tcPr>
                  <w:tcW w:w="1049" w:type="dxa"/>
                  <w:tcBorders>
                    <w:bottom w:val="single" w:color="auto" w:sz="4" w:space="0"/>
                  </w:tcBorders>
                </w:tcPr>
                <w:p>
                  <w:pPr>
                    <w:pStyle w:val="64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NR SCG CC</w:t>
                  </w:r>
                </w:p>
              </w:tc>
              <w:tc>
                <w:tcPr>
                  <w:tcW w:w="1122" w:type="dxa"/>
                  <w:tcBorders>
                    <w:bottom w:val="single" w:color="auto" w:sz="4" w:space="0"/>
                  </w:tcBorders>
                </w:tcPr>
                <w:p>
                  <w:pPr>
                    <w:pStyle w:val="64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</w:rPr>
                    <w:t>E-UTRA MCG CC</w:t>
                  </w:r>
                </w:p>
              </w:tc>
              <w:tc>
                <w:tcPr>
                  <w:tcW w:w="946" w:type="dxa"/>
                  <w:tcBorders>
                    <w:bottom w:val="single" w:color="auto" w:sz="4" w:space="0"/>
                  </w:tcBorders>
                </w:tcPr>
                <w:p>
                  <w:pPr>
                    <w:pStyle w:val="64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NR SCG CC</w:t>
                  </w:r>
                </w:p>
              </w:tc>
              <w:tc>
                <w:tcPr>
                  <w:tcW w:w="946" w:type="dxa"/>
                  <w:tcBorders>
                    <w:bottom w:val="single" w:color="auto" w:sz="4" w:space="0"/>
                  </w:tcBorders>
                </w:tcPr>
                <w:p>
                  <w:pPr>
                    <w:pStyle w:val="64"/>
                    <w:rPr>
                      <w:rFonts w:cs="Arial"/>
                      <w:lang w:val="sv-FI"/>
                    </w:rPr>
                  </w:pPr>
                  <w:r>
                    <w:rPr>
                      <w:rFonts w:cs="Arial"/>
                      <w:lang w:val="sv-FI"/>
                    </w:rPr>
                    <w:t>E-UTRA MCG CC</w:t>
                  </w:r>
                </w:p>
                <w:p>
                  <w:pPr>
                    <w:pStyle w:val="64"/>
                    <w:rPr>
                      <w:rFonts w:eastAsia="??" w:cs="Arial"/>
                      <w:lang w:val="sv-FI"/>
                    </w:rPr>
                  </w:pPr>
                  <w:r>
                    <w:rPr>
                      <w:rFonts w:cs="Arial"/>
                      <w:lang w:val="sv-FI"/>
                    </w:rPr>
                    <w:t>(Note 1)</w:t>
                  </w:r>
                </w:p>
              </w:tc>
              <w:tc>
                <w:tcPr>
                  <w:tcW w:w="947" w:type="dxa"/>
                  <w:tcBorders>
                    <w:bottom w:val="single" w:color="auto" w:sz="4" w:space="0"/>
                  </w:tcBorders>
                </w:tcPr>
                <w:p>
                  <w:pPr>
                    <w:pStyle w:val="64"/>
                    <w:rPr>
                      <w:rFonts w:eastAsia="??" w:cs="Arial"/>
                    </w:rPr>
                  </w:pPr>
                  <w:r>
                    <w:rPr>
                      <w:rFonts w:cs="Arial"/>
                    </w:rPr>
                    <w:t>NR SCG CC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28" w:type="dxa"/>
                  <w:bottom w:w="0" w:type="dxa"/>
                  <w:right w:w="28" w:type="dxa"/>
                </w:tblCellMar>
              </w:tblPrEx>
              <w:trPr>
                <w:gridAfter w:val="1"/>
                <w:wAfter w:w="9" w:type="dxa"/>
                <w:trHeight w:val="92" w:hRule="atLeast"/>
                <w:jc w:val="center"/>
              </w:trPr>
              <w:tc>
                <w:tcPr>
                  <w:tcW w:w="897" w:type="dxa"/>
                </w:tcPr>
                <w:p>
                  <w:pPr>
                    <w:pStyle w:val="56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1</w:t>
                  </w:r>
                </w:p>
              </w:tc>
              <w:tc>
                <w:tcPr>
                  <w:tcW w:w="1620" w:type="dxa"/>
                </w:tcPr>
                <w:p>
                  <w:pPr>
                    <w:pStyle w:val="56"/>
                    <w:rPr>
                      <w:rFonts w:cs="Arial"/>
                      <w:szCs w:val="18"/>
                      <w:lang w:eastAsia="zh-CN"/>
                    </w:rPr>
                  </w:pPr>
                  <w:r>
                    <w:rPr>
                      <w:rFonts w:eastAsia="宋体" w:cs="Arial"/>
                      <w:szCs w:val="18"/>
                    </w:rPr>
                    <w:t>Selected EN-DC combination as per the test procedure</w:t>
                  </w:r>
                </w:p>
              </w:tc>
              <w:tc>
                <w:tcPr>
                  <w:tcW w:w="1119" w:type="dxa"/>
                </w:tcPr>
                <w:p>
                  <w:pPr>
                    <w:pStyle w:val="56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NA</w:t>
                  </w:r>
                </w:p>
              </w:tc>
              <w:tc>
                <w:tcPr>
                  <w:tcW w:w="1049" w:type="dxa"/>
                </w:tcPr>
                <w:p>
                  <w:pPr>
                    <w:pStyle w:val="56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 xml:space="preserve">Derived as per section </w:t>
                  </w:r>
                  <w:r>
                    <w:t>5.1.3.2 of TS 38.214 [12]</w:t>
                  </w:r>
                </w:p>
              </w:tc>
              <w:tc>
                <w:tcPr>
                  <w:tcW w:w="1122" w:type="dxa"/>
                </w:tcPr>
                <w:p>
                  <w:pPr>
                    <w:pStyle w:val="56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-106</w:t>
                  </w:r>
                </w:p>
              </w:tc>
              <w:tc>
                <w:tcPr>
                  <w:tcW w:w="946" w:type="dxa"/>
                </w:tcPr>
                <w:p>
                  <w:pPr>
                    <w:pStyle w:val="56"/>
                    <w:rPr>
                      <w:rFonts w:cs="Arial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-112</w:t>
                  </w:r>
                </w:p>
              </w:tc>
              <w:tc>
                <w:tcPr>
                  <w:tcW w:w="946" w:type="dxa"/>
                </w:tcPr>
                <w:p>
                  <w:pPr>
                    <w:pStyle w:val="56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NA</w:t>
                  </w:r>
                </w:p>
              </w:tc>
              <w:tc>
                <w:tcPr>
                  <w:tcW w:w="947" w:type="dxa"/>
                </w:tcPr>
                <w:p>
                  <w:pPr>
                    <w:pStyle w:val="56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85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655" w:type="dxa"/>
                  <w:gridSpan w:val="9"/>
                  <w:shd w:val="clear" w:color="auto" w:fill="auto"/>
                  <w:vAlign w:val="center"/>
                </w:tcPr>
                <w:p>
                  <w:pPr>
                    <w:pStyle w:val="69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Note 1:</w:t>
                  </w:r>
                  <w:r>
                    <w:rPr>
                      <w:rFonts w:eastAsia="宋体"/>
                      <w:lang w:eastAsia="zh-CN"/>
                    </w:rPr>
                    <w:tab/>
                  </w:r>
                  <w:r>
                    <w:t xml:space="preserve">The number of E-UTRA MCG carriers depend on the intra-band and inter-band contiguous </w:t>
                  </w:r>
                  <w:r>
                    <w:br w:type="textWrapping"/>
                  </w:r>
                  <w:r>
                    <w:t>EN-DC configuration and bandwidth combination set</w:t>
                  </w:r>
                </w:p>
              </w:tc>
            </w:tr>
          </w:tbl>
          <w:p>
            <w:pPr>
              <w:pStyle w:val="62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ind w:left="0" w:firstLine="0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pStyle w:val="62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ind w:left="0" w:firstLine="0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pStyle w:val="62"/>
        <w:keepLines w:val="0"/>
        <w:widowControl w:val="0"/>
        <w:spacing w:before="120" w:after="120"/>
        <w:ind w:left="0" w:firstLine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As Type 2 UE is to be introduced, so the demodulation requirements should be defined for Type 2 UE, which is different from that of Type 1 UE. </w:t>
      </w:r>
    </w:p>
    <w:p>
      <w:pPr>
        <w:pStyle w:val="62"/>
        <w:keepLines w:val="0"/>
        <w:widowControl w:val="0"/>
        <w:spacing w:before="120" w:after="120"/>
        <w:ind w:left="0" w:firstLine="0"/>
        <w:rPr>
          <w:rFonts w:hint="default"/>
          <w:lang w:val="en-US" w:eastAsia="zh-CN"/>
        </w:rPr>
      </w:pPr>
      <w:r>
        <w:rPr>
          <w:rFonts w:hint="eastAsia"/>
          <w:b/>
          <w:bCs/>
          <w:i/>
          <w:iCs/>
          <w:kern w:val="2"/>
          <w:lang w:val="en-US" w:eastAsia="zh-CN"/>
        </w:rPr>
        <w:t>Proposal 1. The demodulation requirements of Type 2 UE need to be reflected in the specification.</w:t>
      </w:r>
    </w:p>
    <w:p>
      <w:pPr>
        <w:pStyle w:val="62"/>
        <w:keepLines w:val="0"/>
        <w:widowControl w:val="0"/>
        <w:spacing w:before="120" w:after="120"/>
        <w:ind w:left="0" w:firstLine="0"/>
        <w:rPr>
          <w:rFonts w:eastAsia="游明朝"/>
          <w:highlight w:val="yellow"/>
          <w:lang w:eastAsia="ja-JP"/>
        </w:rPr>
      </w:pPr>
    </w:p>
    <w:p>
      <w:pPr>
        <w:pStyle w:val="62"/>
        <w:keepLines w:val="0"/>
        <w:widowControl w:val="0"/>
        <w:spacing w:before="120" w:after="120"/>
        <w:ind w:left="0" w:firstLine="0"/>
        <w:rPr>
          <w:rFonts w:hint="default" w:eastAsia="游明朝"/>
          <w:lang w:val="en-US" w:eastAsia="zh-CN"/>
        </w:rPr>
      </w:pPr>
    </w:p>
    <w:bookmarkEnd w:id="6"/>
    <w:bookmarkEnd w:id="7"/>
    <w:p>
      <w:pPr>
        <w:pStyle w:val="62"/>
        <w:keepLines w:val="0"/>
        <w:widowControl w:val="0"/>
        <w:spacing w:before="120" w:after="120"/>
        <w:ind w:left="0" w:firstLine="0"/>
        <w:rPr>
          <w:lang w:val="en-US" w:eastAsia="zh-CN"/>
        </w:rPr>
      </w:pPr>
      <w:bookmarkStart w:id="10" w:name="OLE_LINK11"/>
      <w:bookmarkStart w:id="11" w:name="OLE_LINK28"/>
    </w:p>
    <w:bookmarkEnd w:id="8"/>
    <w:bookmarkEnd w:id="9"/>
    <w:bookmarkEnd w:id="10"/>
    <w:bookmarkEnd w:id="11"/>
    <w:p>
      <w:pPr>
        <w:keepNext/>
        <w:keepLines/>
        <w:widowControl w:val="0"/>
        <w:pBdr>
          <w:top w:val="single" w:color="auto" w:sz="12" w:space="3"/>
        </w:pBdr>
        <w:spacing w:beforeLines="0" w:afterLines="0" w:line="240" w:lineRule="auto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3 Conclusion</w:t>
      </w:r>
    </w:p>
    <w:p>
      <w:pPr>
        <w:pStyle w:val="62"/>
        <w:keepLines w:val="0"/>
        <w:widowControl w:val="0"/>
        <w:spacing w:before="120" w:after="120"/>
        <w:ind w:left="0" w:firstLine="0"/>
        <w:rPr>
          <w:rFonts w:hint="default"/>
          <w:lang w:val="en-US" w:eastAsia="zh-CN"/>
        </w:rPr>
      </w:pPr>
      <w:r>
        <w:rPr>
          <w:rFonts w:hint="eastAsia"/>
          <w:b/>
          <w:bCs/>
          <w:i/>
          <w:iCs/>
          <w:kern w:val="2"/>
          <w:lang w:val="en-US" w:eastAsia="zh-CN"/>
        </w:rPr>
        <w:t>Proposal 1. The demodulation requirements of Type 2 UE need to be reflected in the specification.</w:t>
      </w: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4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Reference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sz w:val="20"/>
          <w:lang w:val="en-US" w:eastAsia="zh-CN"/>
        </w:rPr>
      </w:pPr>
      <w:r>
        <w:rPr>
          <w:rFonts w:hint="eastAsia"/>
          <w:sz w:val="20"/>
        </w:rPr>
        <w:t xml:space="preserve">[1] </w:t>
      </w:r>
      <w:bookmarkStart w:id="12" w:name="OLE_LINK32"/>
      <w:r>
        <w:rPr>
          <w:rFonts w:hint="eastAsia"/>
          <w:sz w:val="20"/>
          <w:lang w:val="en-US" w:eastAsia="zh-CN"/>
        </w:rPr>
        <w:t xml:space="preserve"> </w:t>
      </w:r>
      <w:r>
        <w:rPr>
          <w:rFonts w:hint="eastAsia"/>
          <w:sz w:val="20"/>
        </w:rPr>
        <w:t>R4-2305891</w:t>
      </w:r>
      <w:r>
        <w:rPr>
          <w:rFonts w:hint="eastAsia"/>
          <w:sz w:val="20"/>
          <w:lang w:val="en-US" w:eastAsia="zh-CN"/>
        </w:rPr>
        <w:t xml:space="preserve">, </w:t>
      </w:r>
      <w:r>
        <w:rPr>
          <w:rFonts w:hint="eastAsia"/>
          <w:sz w:val="20"/>
        </w:rPr>
        <w:t>WF on UE demodulation requirements for intra-band non-collocated EN-DC/NR-CA deployment scenario</w:t>
      </w:r>
      <w:r>
        <w:rPr>
          <w:rFonts w:hint="eastAsia"/>
          <w:sz w:val="20"/>
          <w:lang w:val="en-US" w:eastAsia="zh-CN"/>
        </w:rPr>
        <w:t>, Ericsson</w:t>
      </w:r>
      <w:bookmarkEnd w:id="12"/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[2]  TS 38.101-4-h80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游明朝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3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2520651F"/>
    <w:multiLevelType w:val="multilevel"/>
    <w:tmpl w:val="2520651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0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29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420"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72A3B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8594F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51CB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1C4D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01B41"/>
    <w:rsid w:val="01017306"/>
    <w:rsid w:val="01101B26"/>
    <w:rsid w:val="011A0B49"/>
    <w:rsid w:val="011B4658"/>
    <w:rsid w:val="014A0623"/>
    <w:rsid w:val="01536583"/>
    <w:rsid w:val="01764F01"/>
    <w:rsid w:val="018107C9"/>
    <w:rsid w:val="01854FE9"/>
    <w:rsid w:val="018E207B"/>
    <w:rsid w:val="0190283E"/>
    <w:rsid w:val="019D155B"/>
    <w:rsid w:val="01A428BB"/>
    <w:rsid w:val="01AE307F"/>
    <w:rsid w:val="01B35169"/>
    <w:rsid w:val="01C00B7B"/>
    <w:rsid w:val="01D30D79"/>
    <w:rsid w:val="01D46B8D"/>
    <w:rsid w:val="01D866D8"/>
    <w:rsid w:val="01E309CA"/>
    <w:rsid w:val="01EE2663"/>
    <w:rsid w:val="01F90434"/>
    <w:rsid w:val="01FB366B"/>
    <w:rsid w:val="01FD3930"/>
    <w:rsid w:val="02045ABB"/>
    <w:rsid w:val="021B7C87"/>
    <w:rsid w:val="022D4A6E"/>
    <w:rsid w:val="023B0A39"/>
    <w:rsid w:val="023C78A7"/>
    <w:rsid w:val="02444B7E"/>
    <w:rsid w:val="024A5964"/>
    <w:rsid w:val="024B023C"/>
    <w:rsid w:val="024D6B6A"/>
    <w:rsid w:val="02510B5E"/>
    <w:rsid w:val="02566C17"/>
    <w:rsid w:val="02655431"/>
    <w:rsid w:val="027275A1"/>
    <w:rsid w:val="027371D9"/>
    <w:rsid w:val="0276366F"/>
    <w:rsid w:val="027F646E"/>
    <w:rsid w:val="0289282D"/>
    <w:rsid w:val="028F6D4C"/>
    <w:rsid w:val="02933CBB"/>
    <w:rsid w:val="02951DBD"/>
    <w:rsid w:val="029A69A7"/>
    <w:rsid w:val="029B04E7"/>
    <w:rsid w:val="02A10998"/>
    <w:rsid w:val="02AB0FBC"/>
    <w:rsid w:val="02AE6812"/>
    <w:rsid w:val="02CD7DF7"/>
    <w:rsid w:val="02D16C80"/>
    <w:rsid w:val="02DC3F9C"/>
    <w:rsid w:val="03073BDC"/>
    <w:rsid w:val="03084339"/>
    <w:rsid w:val="030B0647"/>
    <w:rsid w:val="030B2860"/>
    <w:rsid w:val="030C40C1"/>
    <w:rsid w:val="030D2F0B"/>
    <w:rsid w:val="033C68CE"/>
    <w:rsid w:val="03445E8F"/>
    <w:rsid w:val="03496C64"/>
    <w:rsid w:val="035154D3"/>
    <w:rsid w:val="03527C38"/>
    <w:rsid w:val="0356746F"/>
    <w:rsid w:val="036824DC"/>
    <w:rsid w:val="036E37C2"/>
    <w:rsid w:val="03746F87"/>
    <w:rsid w:val="03814F5B"/>
    <w:rsid w:val="038B3141"/>
    <w:rsid w:val="03940F72"/>
    <w:rsid w:val="03A77DFA"/>
    <w:rsid w:val="03B339B1"/>
    <w:rsid w:val="03BE33CD"/>
    <w:rsid w:val="03C03714"/>
    <w:rsid w:val="03C05350"/>
    <w:rsid w:val="03C1287B"/>
    <w:rsid w:val="03C36B0E"/>
    <w:rsid w:val="03C528EA"/>
    <w:rsid w:val="03CF67FA"/>
    <w:rsid w:val="03D84C09"/>
    <w:rsid w:val="03E358F3"/>
    <w:rsid w:val="03E84DE8"/>
    <w:rsid w:val="04030035"/>
    <w:rsid w:val="04251A4C"/>
    <w:rsid w:val="042D2E97"/>
    <w:rsid w:val="04305EA0"/>
    <w:rsid w:val="04310833"/>
    <w:rsid w:val="04343921"/>
    <w:rsid w:val="043865BF"/>
    <w:rsid w:val="043A14AD"/>
    <w:rsid w:val="044C78D8"/>
    <w:rsid w:val="04537B11"/>
    <w:rsid w:val="04684A28"/>
    <w:rsid w:val="046C0EAE"/>
    <w:rsid w:val="04782230"/>
    <w:rsid w:val="0479507E"/>
    <w:rsid w:val="04894975"/>
    <w:rsid w:val="049B0F39"/>
    <w:rsid w:val="04A65723"/>
    <w:rsid w:val="04A65EB3"/>
    <w:rsid w:val="04B14B03"/>
    <w:rsid w:val="04D739DC"/>
    <w:rsid w:val="04DA1A87"/>
    <w:rsid w:val="04DE2DA3"/>
    <w:rsid w:val="04DF68B6"/>
    <w:rsid w:val="04EB6DF8"/>
    <w:rsid w:val="04FF1C94"/>
    <w:rsid w:val="04FF7D5A"/>
    <w:rsid w:val="05010CF8"/>
    <w:rsid w:val="0502349F"/>
    <w:rsid w:val="050E7487"/>
    <w:rsid w:val="05161D2D"/>
    <w:rsid w:val="0522500E"/>
    <w:rsid w:val="052E568F"/>
    <w:rsid w:val="05301346"/>
    <w:rsid w:val="053973F0"/>
    <w:rsid w:val="053E65E7"/>
    <w:rsid w:val="0555228E"/>
    <w:rsid w:val="055A42CC"/>
    <w:rsid w:val="057D1D66"/>
    <w:rsid w:val="058A1B21"/>
    <w:rsid w:val="05954435"/>
    <w:rsid w:val="059D265F"/>
    <w:rsid w:val="05B92EC1"/>
    <w:rsid w:val="05E078B3"/>
    <w:rsid w:val="05E974AF"/>
    <w:rsid w:val="05EE6827"/>
    <w:rsid w:val="0601277E"/>
    <w:rsid w:val="06031823"/>
    <w:rsid w:val="060C5AED"/>
    <w:rsid w:val="06103146"/>
    <w:rsid w:val="06172561"/>
    <w:rsid w:val="061E54DA"/>
    <w:rsid w:val="061E5E22"/>
    <w:rsid w:val="06460B91"/>
    <w:rsid w:val="0654187C"/>
    <w:rsid w:val="065475DE"/>
    <w:rsid w:val="06556C03"/>
    <w:rsid w:val="06782F84"/>
    <w:rsid w:val="067C28D6"/>
    <w:rsid w:val="068E06BC"/>
    <w:rsid w:val="069201CB"/>
    <w:rsid w:val="06956E2E"/>
    <w:rsid w:val="06A47564"/>
    <w:rsid w:val="06B741D9"/>
    <w:rsid w:val="06C457B6"/>
    <w:rsid w:val="06CD4A70"/>
    <w:rsid w:val="06DF4C13"/>
    <w:rsid w:val="06E7678C"/>
    <w:rsid w:val="06F42A88"/>
    <w:rsid w:val="06F801C0"/>
    <w:rsid w:val="07105178"/>
    <w:rsid w:val="0712124C"/>
    <w:rsid w:val="07151A9F"/>
    <w:rsid w:val="071C13A8"/>
    <w:rsid w:val="073D143C"/>
    <w:rsid w:val="074855FD"/>
    <w:rsid w:val="07627CA0"/>
    <w:rsid w:val="076319C4"/>
    <w:rsid w:val="076925D2"/>
    <w:rsid w:val="077241E3"/>
    <w:rsid w:val="078B1A95"/>
    <w:rsid w:val="078C5933"/>
    <w:rsid w:val="078D336C"/>
    <w:rsid w:val="07971B3F"/>
    <w:rsid w:val="07983294"/>
    <w:rsid w:val="079F1838"/>
    <w:rsid w:val="07A2030D"/>
    <w:rsid w:val="07A5677E"/>
    <w:rsid w:val="07B51934"/>
    <w:rsid w:val="07B9290D"/>
    <w:rsid w:val="07BE52B9"/>
    <w:rsid w:val="07BF184E"/>
    <w:rsid w:val="07C232CF"/>
    <w:rsid w:val="07C32C10"/>
    <w:rsid w:val="07C55A1A"/>
    <w:rsid w:val="07D57946"/>
    <w:rsid w:val="07EC3358"/>
    <w:rsid w:val="07ED524D"/>
    <w:rsid w:val="07EF5756"/>
    <w:rsid w:val="080124E3"/>
    <w:rsid w:val="080C7FA0"/>
    <w:rsid w:val="08193C24"/>
    <w:rsid w:val="08234820"/>
    <w:rsid w:val="08283516"/>
    <w:rsid w:val="08341060"/>
    <w:rsid w:val="08732D34"/>
    <w:rsid w:val="08787FF0"/>
    <w:rsid w:val="088176B0"/>
    <w:rsid w:val="0889002B"/>
    <w:rsid w:val="089B79D9"/>
    <w:rsid w:val="08A44DA6"/>
    <w:rsid w:val="08AA245A"/>
    <w:rsid w:val="08BA6E24"/>
    <w:rsid w:val="08BE42D6"/>
    <w:rsid w:val="08C024D5"/>
    <w:rsid w:val="08C562FD"/>
    <w:rsid w:val="08CA27B1"/>
    <w:rsid w:val="08D22909"/>
    <w:rsid w:val="08E916DF"/>
    <w:rsid w:val="08F473EA"/>
    <w:rsid w:val="08FC0AA5"/>
    <w:rsid w:val="09306537"/>
    <w:rsid w:val="09355076"/>
    <w:rsid w:val="09392119"/>
    <w:rsid w:val="09445E95"/>
    <w:rsid w:val="09543B3B"/>
    <w:rsid w:val="09600FBD"/>
    <w:rsid w:val="0972595C"/>
    <w:rsid w:val="098143BC"/>
    <w:rsid w:val="098500F1"/>
    <w:rsid w:val="09B060BF"/>
    <w:rsid w:val="09BD407A"/>
    <w:rsid w:val="09DA0E26"/>
    <w:rsid w:val="09E55691"/>
    <w:rsid w:val="09F062F6"/>
    <w:rsid w:val="09F67CD5"/>
    <w:rsid w:val="0A054821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646846"/>
    <w:rsid w:val="0A8251CA"/>
    <w:rsid w:val="0A8828AB"/>
    <w:rsid w:val="0A927DC1"/>
    <w:rsid w:val="0A9B4F7F"/>
    <w:rsid w:val="0A9C263A"/>
    <w:rsid w:val="0A9E3D3D"/>
    <w:rsid w:val="0AA077E0"/>
    <w:rsid w:val="0ABB2D7D"/>
    <w:rsid w:val="0AC01F88"/>
    <w:rsid w:val="0AC0212C"/>
    <w:rsid w:val="0ACE5B04"/>
    <w:rsid w:val="0AD542C1"/>
    <w:rsid w:val="0ADD5A20"/>
    <w:rsid w:val="0AE10FD9"/>
    <w:rsid w:val="0AF13898"/>
    <w:rsid w:val="0AFB3228"/>
    <w:rsid w:val="0AFC6C07"/>
    <w:rsid w:val="0B0025CC"/>
    <w:rsid w:val="0B0250FD"/>
    <w:rsid w:val="0B0F025C"/>
    <w:rsid w:val="0B1A6333"/>
    <w:rsid w:val="0B2713F4"/>
    <w:rsid w:val="0B3D1C8E"/>
    <w:rsid w:val="0B3D701F"/>
    <w:rsid w:val="0B3E7DD7"/>
    <w:rsid w:val="0B561995"/>
    <w:rsid w:val="0B5C2C2A"/>
    <w:rsid w:val="0B665E0A"/>
    <w:rsid w:val="0B6A3C32"/>
    <w:rsid w:val="0B743FE2"/>
    <w:rsid w:val="0B847B39"/>
    <w:rsid w:val="0B987E20"/>
    <w:rsid w:val="0B9E71DF"/>
    <w:rsid w:val="0BAD5CC5"/>
    <w:rsid w:val="0BAD5EDC"/>
    <w:rsid w:val="0BAF59B9"/>
    <w:rsid w:val="0BB524B8"/>
    <w:rsid w:val="0BB756DF"/>
    <w:rsid w:val="0BC3647F"/>
    <w:rsid w:val="0BC63DB2"/>
    <w:rsid w:val="0BCC4043"/>
    <w:rsid w:val="0BCC4B6A"/>
    <w:rsid w:val="0BDC04F4"/>
    <w:rsid w:val="0BF916CE"/>
    <w:rsid w:val="0C04318C"/>
    <w:rsid w:val="0C0A1662"/>
    <w:rsid w:val="0C1A119A"/>
    <w:rsid w:val="0C1E494F"/>
    <w:rsid w:val="0C3427D0"/>
    <w:rsid w:val="0C43327D"/>
    <w:rsid w:val="0C4426AF"/>
    <w:rsid w:val="0C4577EC"/>
    <w:rsid w:val="0C4F7881"/>
    <w:rsid w:val="0C5C6396"/>
    <w:rsid w:val="0C63431B"/>
    <w:rsid w:val="0C650A20"/>
    <w:rsid w:val="0C690EFA"/>
    <w:rsid w:val="0C6E11B8"/>
    <w:rsid w:val="0C6F1666"/>
    <w:rsid w:val="0C723CD1"/>
    <w:rsid w:val="0C8B63A3"/>
    <w:rsid w:val="0CA3502C"/>
    <w:rsid w:val="0CB94808"/>
    <w:rsid w:val="0CC37BC2"/>
    <w:rsid w:val="0CD87ABE"/>
    <w:rsid w:val="0CE26C42"/>
    <w:rsid w:val="0CE632FF"/>
    <w:rsid w:val="0CE76B48"/>
    <w:rsid w:val="0CEB5DBE"/>
    <w:rsid w:val="0CF06BF8"/>
    <w:rsid w:val="0CFB523A"/>
    <w:rsid w:val="0D1B1E9C"/>
    <w:rsid w:val="0D4B44A1"/>
    <w:rsid w:val="0D6309C9"/>
    <w:rsid w:val="0D6811B4"/>
    <w:rsid w:val="0D6E2620"/>
    <w:rsid w:val="0D704E21"/>
    <w:rsid w:val="0D7F48FE"/>
    <w:rsid w:val="0D883C88"/>
    <w:rsid w:val="0D936E72"/>
    <w:rsid w:val="0D966BF7"/>
    <w:rsid w:val="0DC64280"/>
    <w:rsid w:val="0DC826FC"/>
    <w:rsid w:val="0DCC3AE8"/>
    <w:rsid w:val="0DD87842"/>
    <w:rsid w:val="0DDF633A"/>
    <w:rsid w:val="0DEB2AC7"/>
    <w:rsid w:val="0DF202E1"/>
    <w:rsid w:val="0DF53CE3"/>
    <w:rsid w:val="0E0961C5"/>
    <w:rsid w:val="0E147898"/>
    <w:rsid w:val="0E2F216B"/>
    <w:rsid w:val="0E3352C6"/>
    <w:rsid w:val="0E3A5EE2"/>
    <w:rsid w:val="0E4D4690"/>
    <w:rsid w:val="0E542F3B"/>
    <w:rsid w:val="0E6271DF"/>
    <w:rsid w:val="0E81568A"/>
    <w:rsid w:val="0E942250"/>
    <w:rsid w:val="0E963344"/>
    <w:rsid w:val="0E9E6E00"/>
    <w:rsid w:val="0EA40C1C"/>
    <w:rsid w:val="0EB72E4B"/>
    <w:rsid w:val="0EEC6F1D"/>
    <w:rsid w:val="0F103291"/>
    <w:rsid w:val="0F1D498B"/>
    <w:rsid w:val="0F1E5A47"/>
    <w:rsid w:val="0F337178"/>
    <w:rsid w:val="0F3B15FC"/>
    <w:rsid w:val="0F41022A"/>
    <w:rsid w:val="0F56743B"/>
    <w:rsid w:val="0F60682C"/>
    <w:rsid w:val="0F6763D9"/>
    <w:rsid w:val="0F6E5243"/>
    <w:rsid w:val="0F715B2B"/>
    <w:rsid w:val="0F764270"/>
    <w:rsid w:val="0F7A20A8"/>
    <w:rsid w:val="0F7F273F"/>
    <w:rsid w:val="0F8418ED"/>
    <w:rsid w:val="0F957B47"/>
    <w:rsid w:val="0F98796C"/>
    <w:rsid w:val="0F9F6FA4"/>
    <w:rsid w:val="0FA65D5C"/>
    <w:rsid w:val="0FAD33DA"/>
    <w:rsid w:val="0FBE2A42"/>
    <w:rsid w:val="0FC17CCE"/>
    <w:rsid w:val="0FC424B9"/>
    <w:rsid w:val="0FD70565"/>
    <w:rsid w:val="0FEC680C"/>
    <w:rsid w:val="10007AD6"/>
    <w:rsid w:val="10043420"/>
    <w:rsid w:val="101B1E8A"/>
    <w:rsid w:val="101C4A03"/>
    <w:rsid w:val="101D0C86"/>
    <w:rsid w:val="102747A4"/>
    <w:rsid w:val="103F19C7"/>
    <w:rsid w:val="104A023B"/>
    <w:rsid w:val="10505F3B"/>
    <w:rsid w:val="106D2686"/>
    <w:rsid w:val="107C3E2C"/>
    <w:rsid w:val="107D41AE"/>
    <w:rsid w:val="108C2479"/>
    <w:rsid w:val="10C715C5"/>
    <w:rsid w:val="10D335EF"/>
    <w:rsid w:val="10E746EA"/>
    <w:rsid w:val="10E83FE0"/>
    <w:rsid w:val="10EC3168"/>
    <w:rsid w:val="10F52718"/>
    <w:rsid w:val="114028DC"/>
    <w:rsid w:val="1141355F"/>
    <w:rsid w:val="1151152F"/>
    <w:rsid w:val="116F1EB0"/>
    <w:rsid w:val="117B1D6A"/>
    <w:rsid w:val="117C2D9D"/>
    <w:rsid w:val="117F159E"/>
    <w:rsid w:val="11821DC9"/>
    <w:rsid w:val="11913775"/>
    <w:rsid w:val="11921373"/>
    <w:rsid w:val="119948AA"/>
    <w:rsid w:val="119D7849"/>
    <w:rsid w:val="11A615EE"/>
    <w:rsid w:val="11A658F4"/>
    <w:rsid w:val="11A849BE"/>
    <w:rsid w:val="11B91A57"/>
    <w:rsid w:val="11C67B8F"/>
    <w:rsid w:val="11CE730E"/>
    <w:rsid w:val="11D815C4"/>
    <w:rsid w:val="11E57D4F"/>
    <w:rsid w:val="11F92DAB"/>
    <w:rsid w:val="11FC38D5"/>
    <w:rsid w:val="1210682D"/>
    <w:rsid w:val="12243EB6"/>
    <w:rsid w:val="122F4E3A"/>
    <w:rsid w:val="123A05DB"/>
    <w:rsid w:val="124240B9"/>
    <w:rsid w:val="124D0988"/>
    <w:rsid w:val="12680E73"/>
    <w:rsid w:val="12763466"/>
    <w:rsid w:val="127E5AA6"/>
    <w:rsid w:val="128B2749"/>
    <w:rsid w:val="129019B5"/>
    <w:rsid w:val="129811DB"/>
    <w:rsid w:val="129937EE"/>
    <w:rsid w:val="129E6282"/>
    <w:rsid w:val="12AB7A32"/>
    <w:rsid w:val="12BB6535"/>
    <w:rsid w:val="12BC5A21"/>
    <w:rsid w:val="12C43A00"/>
    <w:rsid w:val="12C7312B"/>
    <w:rsid w:val="12D22971"/>
    <w:rsid w:val="12D85654"/>
    <w:rsid w:val="12DF4A87"/>
    <w:rsid w:val="12EE5106"/>
    <w:rsid w:val="1307341C"/>
    <w:rsid w:val="130C40FE"/>
    <w:rsid w:val="130E3629"/>
    <w:rsid w:val="130F03EB"/>
    <w:rsid w:val="131A4B0F"/>
    <w:rsid w:val="131B39D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735B23"/>
    <w:rsid w:val="138141DF"/>
    <w:rsid w:val="139D3156"/>
    <w:rsid w:val="13AA5FA1"/>
    <w:rsid w:val="13AF6488"/>
    <w:rsid w:val="13C20262"/>
    <w:rsid w:val="13D024B3"/>
    <w:rsid w:val="13D115EF"/>
    <w:rsid w:val="13D86A45"/>
    <w:rsid w:val="13DD445E"/>
    <w:rsid w:val="13DE7C83"/>
    <w:rsid w:val="13F3590D"/>
    <w:rsid w:val="13FD073F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5103FA"/>
    <w:rsid w:val="14513DD1"/>
    <w:rsid w:val="145F07C7"/>
    <w:rsid w:val="146B5FDD"/>
    <w:rsid w:val="146B69A8"/>
    <w:rsid w:val="146C5189"/>
    <w:rsid w:val="146F1089"/>
    <w:rsid w:val="14816B50"/>
    <w:rsid w:val="148313F4"/>
    <w:rsid w:val="14843E50"/>
    <w:rsid w:val="14934F1A"/>
    <w:rsid w:val="149559C4"/>
    <w:rsid w:val="14AC0C32"/>
    <w:rsid w:val="14C45576"/>
    <w:rsid w:val="14C76D6C"/>
    <w:rsid w:val="14CE33C4"/>
    <w:rsid w:val="14DA3DA1"/>
    <w:rsid w:val="14E60B42"/>
    <w:rsid w:val="14EA1C4D"/>
    <w:rsid w:val="14F14F3B"/>
    <w:rsid w:val="150222BF"/>
    <w:rsid w:val="150F7C33"/>
    <w:rsid w:val="1515004B"/>
    <w:rsid w:val="151B7C99"/>
    <w:rsid w:val="15207BBA"/>
    <w:rsid w:val="152B44F4"/>
    <w:rsid w:val="152F4E1B"/>
    <w:rsid w:val="154D342A"/>
    <w:rsid w:val="15520877"/>
    <w:rsid w:val="1559587F"/>
    <w:rsid w:val="1574662E"/>
    <w:rsid w:val="15751882"/>
    <w:rsid w:val="1575191B"/>
    <w:rsid w:val="157818C6"/>
    <w:rsid w:val="159F73BB"/>
    <w:rsid w:val="15B03F28"/>
    <w:rsid w:val="15B95373"/>
    <w:rsid w:val="15E30A80"/>
    <w:rsid w:val="15E73E3D"/>
    <w:rsid w:val="1608480E"/>
    <w:rsid w:val="161C1C58"/>
    <w:rsid w:val="162F7556"/>
    <w:rsid w:val="16307A49"/>
    <w:rsid w:val="16413A3A"/>
    <w:rsid w:val="1644500C"/>
    <w:rsid w:val="16461A95"/>
    <w:rsid w:val="16594F06"/>
    <w:rsid w:val="165A38E6"/>
    <w:rsid w:val="166F5E80"/>
    <w:rsid w:val="16766A92"/>
    <w:rsid w:val="167A52A9"/>
    <w:rsid w:val="167B7B40"/>
    <w:rsid w:val="167C6594"/>
    <w:rsid w:val="16866882"/>
    <w:rsid w:val="16895E32"/>
    <w:rsid w:val="168F69F2"/>
    <w:rsid w:val="16941806"/>
    <w:rsid w:val="169C7FDE"/>
    <w:rsid w:val="16A4319F"/>
    <w:rsid w:val="16AC4DDB"/>
    <w:rsid w:val="16AE2FE3"/>
    <w:rsid w:val="16B23908"/>
    <w:rsid w:val="16B4400E"/>
    <w:rsid w:val="16BB3754"/>
    <w:rsid w:val="16C71372"/>
    <w:rsid w:val="16C739DF"/>
    <w:rsid w:val="16C86CDB"/>
    <w:rsid w:val="16DD3B26"/>
    <w:rsid w:val="16EB6E00"/>
    <w:rsid w:val="16EE7649"/>
    <w:rsid w:val="16F04615"/>
    <w:rsid w:val="16FD2447"/>
    <w:rsid w:val="1712339A"/>
    <w:rsid w:val="171E63FC"/>
    <w:rsid w:val="1722504D"/>
    <w:rsid w:val="17355980"/>
    <w:rsid w:val="1738730F"/>
    <w:rsid w:val="17416499"/>
    <w:rsid w:val="17481B81"/>
    <w:rsid w:val="17481E8B"/>
    <w:rsid w:val="174A69B0"/>
    <w:rsid w:val="175007ED"/>
    <w:rsid w:val="175310BE"/>
    <w:rsid w:val="176B45C6"/>
    <w:rsid w:val="176B5780"/>
    <w:rsid w:val="176C447F"/>
    <w:rsid w:val="17850F99"/>
    <w:rsid w:val="17875303"/>
    <w:rsid w:val="178815C4"/>
    <w:rsid w:val="1793626E"/>
    <w:rsid w:val="17991452"/>
    <w:rsid w:val="17A875F5"/>
    <w:rsid w:val="17B5256D"/>
    <w:rsid w:val="17B92501"/>
    <w:rsid w:val="17CC1970"/>
    <w:rsid w:val="17E65848"/>
    <w:rsid w:val="17E66DD8"/>
    <w:rsid w:val="17E84839"/>
    <w:rsid w:val="17EE1403"/>
    <w:rsid w:val="17F25234"/>
    <w:rsid w:val="17FD061B"/>
    <w:rsid w:val="17FF6314"/>
    <w:rsid w:val="18005F41"/>
    <w:rsid w:val="18025414"/>
    <w:rsid w:val="18171305"/>
    <w:rsid w:val="182A241D"/>
    <w:rsid w:val="18334194"/>
    <w:rsid w:val="183E1D37"/>
    <w:rsid w:val="184D0787"/>
    <w:rsid w:val="185D1883"/>
    <w:rsid w:val="185E3AA1"/>
    <w:rsid w:val="18812331"/>
    <w:rsid w:val="18816F1C"/>
    <w:rsid w:val="18853F3E"/>
    <w:rsid w:val="18956393"/>
    <w:rsid w:val="189859AD"/>
    <w:rsid w:val="18A8582C"/>
    <w:rsid w:val="18B50543"/>
    <w:rsid w:val="18B60776"/>
    <w:rsid w:val="18C9089D"/>
    <w:rsid w:val="18CA40C3"/>
    <w:rsid w:val="18CD7A02"/>
    <w:rsid w:val="18ED46F4"/>
    <w:rsid w:val="19001FFC"/>
    <w:rsid w:val="190D51C6"/>
    <w:rsid w:val="190E2B4A"/>
    <w:rsid w:val="191F7D1E"/>
    <w:rsid w:val="19256D7A"/>
    <w:rsid w:val="192A7C07"/>
    <w:rsid w:val="193275C2"/>
    <w:rsid w:val="194D2005"/>
    <w:rsid w:val="19655A52"/>
    <w:rsid w:val="19663168"/>
    <w:rsid w:val="196D3E9E"/>
    <w:rsid w:val="197724BD"/>
    <w:rsid w:val="19786B0A"/>
    <w:rsid w:val="197E59C1"/>
    <w:rsid w:val="198A41A1"/>
    <w:rsid w:val="199A2059"/>
    <w:rsid w:val="19B02FFE"/>
    <w:rsid w:val="19B30945"/>
    <w:rsid w:val="19B46E10"/>
    <w:rsid w:val="19C456C1"/>
    <w:rsid w:val="19F061A1"/>
    <w:rsid w:val="1A054259"/>
    <w:rsid w:val="1A081816"/>
    <w:rsid w:val="1A0C5680"/>
    <w:rsid w:val="1A165171"/>
    <w:rsid w:val="1A2A4993"/>
    <w:rsid w:val="1A4858FF"/>
    <w:rsid w:val="1A4C698A"/>
    <w:rsid w:val="1A5D5219"/>
    <w:rsid w:val="1A5E4B5A"/>
    <w:rsid w:val="1A672B1C"/>
    <w:rsid w:val="1A76068B"/>
    <w:rsid w:val="1A8301C0"/>
    <w:rsid w:val="1A872248"/>
    <w:rsid w:val="1A9B2279"/>
    <w:rsid w:val="1A9E6232"/>
    <w:rsid w:val="1AA2105D"/>
    <w:rsid w:val="1AA57BA7"/>
    <w:rsid w:val="1AA74D3D"/>
    <w:rsid w:val="1AB34DB4"/>
    <w:rsid w:val="1AB613FD"/>
    <w:rsid w:val="1ACF5EB8"/>
    <w:rsid w:val="1AD26086"/>
    <w:rsid w:val="1ADD5ACE"/>
    <w:rsid w:val="1AE013F8"/>
    <w:rsid w:val="1AE2274E"/>
    <w:rsid w:val="1AE8570C"/>
    <w:rsid w:val="1AEE6FEB"/>
    <w:rsid w:val="1AF54203"/>
    <w:rsid w:val="1AFB06A3"/>
    <w:rsid w:val="1B0F19AE"/>
    <w:rsid w:val="1B2160BB"/>
    <w:rsid w:val="1B35751E"/>
    <w:rsid w:val="1B3637AD"/>
    <w:rsid w:val="1B3E0DB5"/>
    <w:rsid w:val="1B454C94"/>
    <w:rsid w:val="1B6C0DF0"/>
    <w:rsid w:val="1B7416EE"/>
    <w:rsid w:val="1B7F6005"/>
    <w:rsid w:val="1B9C269A"/>
    <w:rsid w:val="1B9E64C5"/>
    <w:rsid w:val="1B9E6D4C"/>
    <w:rsid w:val="1BBD43BA"/>
    <w:rsid w:val="1BC01115"/>
    <w:rsid w:val="1BC44015"/>
    <w:rsid w:val="1BC609E0"/>
    <w:rsid w:val="1BCA6284"/>
    <w:rsid w:val="1BFE5FF9"/>
    <w:rsid w:val="1C013494"/>
    <w:rsid w:val="1C053414"/>
    <w:rsid w:val="1C132CB9"/>
    <w:rsid w:val="1C1642A1"/>
    <w:rsid w:val="1C273D33"/>
    <w:rsid w:val="1C4032AB"/>
    <w:rsid w:val="1C4672ED"/>
    <w:rsid w:val="1C467AB6"/>
    <w:rsid w:val="1C6277A9"/>
    <w:rsid w:val="1C7F54CE"/>
    <w:rsid w:val="1C7F743F"/>
    <w:rsid w:val="1C8C4AA9"/>
    <w:rsid w:val="1C8C604B"/>
    <w:rsid w:val="1C92160B"/>
    <w:rsid w:val="1C973EEF"/>
    <w:rsid w:val="1CA03243"/>
    <w:rsid w:val="1CAF5DB2"/>
    <w:rsid w:val="1CB0014A"/>
    <w:rsid w:val="1CB40DF1"/>
    <w:rsid w:val="1CC41B63"/>
    <w:rsid w:val="1CC6195D"/>
    <w:rsid w:val="1CCC26CA"/>
    <w:rsid w:val="1CD2156B"/>
    <w:rsid w:val="1CD41743"/>
    <w:rsid w:val="1CD44D3D"/>
    <w:rsid w:val="1CE45EF5"/>
    <w:rsid w:val="1CE615C9"/>
    <w:rsid w:val="1CFA692A"/>
    <w:rsid w:val="1D037029"/>
    <w:rsid w:val="1D3305FF"/>
    <w:rsid w:val="1D395282"/>
    <w:rsid w:val="1D4251BA"/>
    <w:rsid w:val="1D56717F"/>
    <w:rsid w:val="1D5F5386"/>
    <w:rsid w:val="1D7072CE"/>
    <w:rsid w:val="1D794A16"/>
    <w:rsid w:val="1D9E30A9"/>
    <w:rsid w:val="1DAB1006"/>
    <w:rsid w:val="1DB33C11"/>
    <w:rsid w:val="1DC65562"/>
    <w:rsid w:val="1DE94164"/>
    <w:rsid w:val="1DEE1B11"/>
    <w:rsid w:val="1E1149E3"/>
    <w:rsid w:val="1E164B52"/>
    <w:rsid w:val="1E273844"/>
    <w:rsid w:val="1E2F243E"/>
    <w:rsid w:val="1E3B4F6B"/>
    <w:rsid w:val="1E455D19"/>
    <w:rsid w:val="1E595CAF"/>
    <w:rsid w:val="1E5C31E8"/>
    <w:rsid w:val="1E6607F9"/>
    <w:rsid w:val="1E691070"/>
    <w:rsid w:val="1E7E6BFD"/>
    <w:rsid w:val="1E805396"/>
    <w:rsid w:val="1E884F62"/>
    <w:rsid w:val="1E9D6342"/>
    <w:rsid w:val="1E9D6D15"/>
    <w:rsid w:val="1EA77730"/>
    <w:rsid w:val="1EBD1EAD"/>
    <w:rsid w:val="1EC36E9D"/>
    <w:rsid w:val="1EC43064"/>
    <w:rsid w:val="1EE25FDD"/>
    <w:rsid w:val="1EF5103F"/>
    <w:rsid w:val="1EFF621F"/>
    <w:rsid w:val="1F090F9B"/>
    <w:rsid w:val="1F093B01"/>
    <w:rsid w:val="1F0E5D6B"/>
    <w:rsid w:val="1F121431"/>
    <w:rsid w:val="1F3218E8"/>
    <w:rsid w:val="1F3E662A"/>
    <w:rsid w:val="1F4B46FD"/>
    <w:rsid w:val="1F4F2219"/>
    <w:rsid w:val="1F5353B6"/>
    <w:rsid w:val="1F614D01"/>
    <w:rsid w:val="1F721405"/>
    <w:rsid w:val="1F804693"/>
    <w:rsid w:val="1F825709"/>
    <w:rsid w:val="1F935819"/>
    <w:rsid w:val="1FA6556D"/>
    <w:rsid w:val="1FAF2571"/>
    <w:rsid w:val="1FC55EDA"/>
    <w:rsid w:val="1FCE593C"/>
    <w:rsid w:val="1FE312AC"/>
    <w:rsid w:val="1FEC5915"/>
    <w:rsid w:val="1FED32EF"/>
    <w:rsid w:val="201E6D7C"/>
    <w:rsid w:val="20446081"/>
    <w:rsid w:val="204852AD"/>
    <w:rsid w:val="204B330F"/>
    <w:rsid w:val="204E6676"/>
    <w:rsid w:val="205A5AA0"/>
    <w:rsid w:val="20773A28"/>
    <w:rsid w:val="208115A6"/>
    <w:rsid w:val="208574F4"/>
    <w:rsid w:val="208C4449"/>
    <w:rsid w:val="208F6BAF"/>
    <w:rsid w:val="20A462BA"/>
    <w:rsid w:val="20BF2AAC"/>
    <w:rsid w:val="20C849C7"/>
    <w:rsid w:val="20DF66D2"/>
    <w:rsid w:val="20EC3F2E"/>
    <w:rsid w:val="20EC7C3E"/>
    <w:rsid w:val="210548E9"/>
    <w:rsid w:val="21124D15"/>
    <w:rsid w:val="211C6B81"/>
    <w:rsid w:val="213E7119"/>
    <w:rsid w:val="21530058"/>
    <w:rsid w:val="21732704"/>
    <w:rsid w:val="21810744"/>
    <w:rsid w:val="218D6EF5"/>
    <w:rsid w:val="2195668B"/>
    <w:rsid w:val="219F69EC"/>
    <w:rsid w:val="21A130EA"/>
    <w:rsid w:val="21AB278B"/>
    <w:rsid w:val="21C267BF"/>
    <w:rsid w:val="21CD6BCD"/>
    <w:rsid w:val="21CE6067"/>
    <w:rsid w:val="21CF439A"/>
    <w:rsid w:val="21F00127"/>
    <w:rsid w:val="221D2FA3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8A4698"/>
    <w:rsid w:val="22925971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2FB4D32"/>
    <w:rsid w:val="23131055"/>
    <w:rsid w:val="233C6F76"/>
    <w:rsid w:val="234449F5"/>
    <w:rsid w:val="23536618"/>
    <w:rsid w:val="23816932"/>
    <w:rsid w:val="23972CF0"/>
    <w:rsid w:val="239C062C"/>
    <w:rsid w:val="23A9484E"/>
    <w:rsid w:val="23B32F98"/>
    <w:rsid w:val="23B84268"/>
    <w:rsid w:val="23D17D7B"/>
    <w:rsid w:val="23D36D91"/>
    <w:rsid w:val="23F70BA5"/>
    <w:rsid w:val="23F93D0D"/>
    <w:rsid w:val="2405417E"/>
    <w:rsid w:val="241B5C62"/>
    <w:rsid w:val="24342C37"/>
    <w:rsid w:val="24352A14"/>
    <w:rsid w:val="243B2F20"/>
    <w:rsid w:val="2458381E"/>
    <w:rsid w:val="245872F9"/>
    <w:rsid w:val="245943D9"/>
    <w:rsid w:val="245E6B64"/>
    <w:rsid w:val="2463385E"/>
    <w:rsid w:val="248F4B88"/>
    <w:rsid w:val="24967323"/>
    <w:rsid w:val="249D5FC8"/>
    <w:rsid w:val="24A1538E"/>
    <w:rsid w:val="24B44C90"/>
    <w:rsid w:val="24B9450F"/>
    <w:rsid w:val="24C83F94"/>
    <w:rsid w:val="24F41769"/>
    <w:rsid w:val="24F60CDA"/>
    <w:rsid w:val="24FE42EB"/>
    <w:rsid w:val="250D450C"/>
    <w:rsid w:val="25134332"/>
    <w:rsid w:val="25141A5B"/>
    <w:rsid w:val="2521546A"/>
    <w:rsid w:val="252242ED"/>
    <w:rsid w:val="252A2BA6"/>
    <w:rsid w:val="252B49E0"/>
    <w:rsid w:val="254A35DD"/>
    <w:rsid w:val="25657E8F"/>
    <w:rsid w:val="25734B61"/>
    <w:rsid w:val="258129C3"/>
    <w:rsid w:val="258F6BC4"/>
    <w:rsid w:val="25975923"/>
    <w:rsid w:val="259A3D0A"/>
    <w:rsid w:val="259F2704"/>
    <w:rsid w:val="25A95F3E"/>
    <w:rsid w:val="25BF6041"/>
    <w:rsid w:val="25C35718"/>
    <w:rsid w:val="25CF0252"/>
    <w:rsid w:val="25D0248E"/>
    <w:rsid w:val="25D61C5C"/>
    <w:rsid w:val="25DB6446"/>
    <w:rsid w:val="25F81D70"/>
    <w:rsid w:val="25FB5636"/>
    <w:rsid w:val="25FE58A9"/>
    <w:rsid w:val="26070462"/>
    <w:rsid w:val="260D2C45"/>
    <w:rsid w:val="26395C92"/>
    <w:rsid w:val="26465DA0"/>
    <w:rsid w:val="265A5249"/>
    <w:rsid w:val="266237C3"/>
    <w:rsid w:val="267550B9"/>
    <w:rsid w:val="26942D1C"/>
    <w:rsid w:val="26C472EC"/>
    <w:rsid w:val="26EC491A"/>
    <w:rsid w:val="26ED73E1"/>
    <w:rsid w:val="26F503CD"/>
    <w:rsid w:val="27036506"/>
    <w:rsid w:val="27047832"/>
    <w:rsid w:val="2706037D"/>
    <w:rsid w:val="270D152E"/>
    <w:rsid w:val="27204B5D"/>
    <w:rsid w:val="27217DBD"/>
    <w:rsid w:val="272F31A0"/>
    <w:rsid w:val="27310CAC"/>
    <w:rsid w:val="27342901"/>
    <w:rsid w:val="273D2762"/>
    <w:rsid w:val="27470B72"/>
    <w:rsid w:val="2750457D"/>
    <w:rsid w:val="27525E32"/>
    <w:rsid w:val="27604751"/>
    <w:rsid w:val="2778582E"/>
    <w:rsid w:val="27806765"/>
    <w:rsid w:val="27832596"/>
    <w:rsid w:val="278C1620"/>
    <w:rsid w:val="278C5523"/>
    <w:rsid w:val="278D141A"/>
    <w:rsid w:val="279B1E53"/>
    <w:rsid w:val="27AA3521"/>
    <w:rsid w:val="27AB7429"/>
    <w:rsid w:val="27C57B2B"/>
    <w:rsid w:val="27C8029E"/>
    <w:rsid w:val="27CC78AC"/>
    <w:rsid w:val="27D72FE7"/>
    <w:rsid w:val="27D86029"/>
    <w:rsid w:val="27DD45ED"/>
    <w:rsid w:val="27E103DD"/>
    <w:rsid w:val="27E3651B"/>
    <w:rsid w:val="27E864CC"/>
    <w:rsid w:val="27EC25E3"/>
    <w:rsid w:val="27EC4A72"/>
    <w:rsid w:val="27ED0939"/>
    <w:rsid w:val="27F1498B"/>
    <w:rsid w:val="28027A71"/>
    <w:rsid w:val="280420BC"/>
    <w:rsid w:val="281F4F67"/>
    <w:rsid w:val="283744B4"/>
    <w:rsid w:val="283E7EC8"/>
    <w:rsid w:val="28485D62"/>
    <w:rsid w:val="284F1F42"/>
    <w:rsid w:val="285560D7"/>
    <w:rsid w:val="286E74F1"/>
    <w:rsid w:val="28760CA0"/>
    <w:rsid w:val="287773FE"/>
    <w:rsid w:val="28787710"/>
    <w:rsid w:val="287B218C"/>
    <w:rsid w:val="288A05DD"/>
    <w:rsid w:val="28937D89"/>
    <w:rsid w:val="289B0550"/>
    <w:rsid w:val="28C96C14"/>
    <w:rsid w:val="28E138E3"/>
    <w:rsid w:val="28E74216"/>
    <w:rsid w:val="28E87EE4"/>
    <w:rsid w:val="28FE42C1"/>
    <w:rsid w:val="28FF2940"/>
    <w:rsid w:val="2903396A"/>
    <w:rsid w:val="294E766A"/>
    <w:rsid w:val="297161D3"/>
    <w:rsid w:val="2978319A"/>
    <w:rsid w:val="29886D49"/>
    <w:rsid w:val="29897A2F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415AE"/>
    <w:rsid w:val="29EC475A"/>
    <w:rsid w:val="29ED4AA7"/>
    <w:rsid w:val="29EF3680"/>
    <w:rsid w:val="29EF424E"/>
    <w:rsid w:val="29FA7F26"/>
    <w:rsid w:val="2A166823"/>
    <w:rsid w:val="2A1A045D"/>
    <w:rsid w:val="2A35650F"/>
    <w:rsid w:val="2A405845"/>
    <w:rsid w:val="2A4D593F"/>
    <w:rsid w:val="2A4F5968"/>
    <w:rsid w:val="2A5024EA"/>
    <w:rsid w:val="2A614370"/>
    <w:rsid w:val="2A6E31F8"/>
    <w:rsid w:val="2A7E5538"/>
    <w:rsid w:val="2A87174E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0C0EEE"/>
    <w:rsid w:val="2B132265"/>
    <w:rsid w:val="2B214776"/>
    <w:rsid w:val="2B2843BE"/>
    <w:rsid w:val="2B2B6079"/>
    <w:rsid w:val="2B313FC1"/>
    <w:rsid w:val="2B347C14"/>
    <w:rsid w:val="2B39348E"/>
    <w:rsid w:val="2B3B2EA6"/>
    <w:rsid w:val="2B437285"/>
    <w:rsid w:val="2B474E9C"/>
    <w:rsid w:val="2B494377"/>
    <w:rsid w:val="2B4D695C"/>
    <w:rsid w:val="2B5016B3"/>
    <w:rsid w:val="2B514803"/>
    <w:rsid w:val="2B637D4B"/>
    <w:rsid w:val="2B6B1684"/>
    <w:rsid w:val="2B7B70BF"/>
    <w:rsid w:val="2B7C012E"/>
    <w:rsid w:val="2B7E4C41"/>
    <w:rsid w:val="2B853AF3"/>
    <w:rsid w:val="2B8B422C"/>
    <w:rsid w:val="2B8E38FD"/>
    <w:rsid w:val="2BA07D38"/>
    <w:rsid w:val="2BB756FF"/>
    <w:rsid w:val="2BC40957"/>
    <w:rsid w:val="2BCB5DAA"/>
    <w:rsid w:val="2BD65380"/>
    <w:rsid w:val="2BE725D0"/>
    <w:rsid w:val="2BF369B9"/>
    <w:rsid w:val="2BFC0A4A"/>
    <w:rsid w:val="2C094904"/>
    <w:rsid w:val="2C0D6DD8"/>
    <w:rsid w:val="2C0E55A1"/>
    <w:rsid w:val="2C3A7BF6"/>
    <w:rsid w:val="2C425BCE"/>
    <w:rsid w:val="2C44676A"/>
    <w:rsid w:val="2C495C38"/>
    <w:rsid w:val="2C4A080C"/>
    <w:rsid w:val="2C54533B"/>
    <w:rsid w:val="2C591378"/>
    <w:rsid w:val="2C642BA5"/>
    <w:rsid w:val="2C797A76"/>
    <w:rsid w:val="2C8F4862"/>
    <w:rsid w:val="2C9E5AC8"/>
    <w:rsid w:val="2CA2721B"/>
    <w:rsid w:val="2CAC6D87"/>
    <w:rsid w:val="2CB600FC"/>
    <w:rsid w:val="2CBB2852"/>
    <w:rsid w:val="2CE755FE"/>
    <w:rsid w:val="2CE8526F"/>
    <w:rsid w:val="2D026315"/>
    <w:rsid w:val="2D0764BD"/>
    <w:rsid w:val="2D0B3169"/>
    <w:rsid w:val="2D0D4219"/>
    <w:rsid w:val="2D274320"/>
    <w:rsid w:val="2D2D2DE2"/>
    <w:rsid w:val="2D324CCC"/>
    <w:rsid w:val="2D340E86"/>
    <w:rsid w:val="2D395427"/>
    <w:rsid w:val="2D3D0E02"/>
    <w:rsid w:val="2D5436FA"/>
    <w:rsid w:val="2D62469E"/>
    <w:rsid w:val="2D6B40A9"/>
    <w:rsid w:val="2D8703A1"/>
    <w:rsid w:val="2D8A3FA2"/>
    <w:rsid w:val="2D9767DC"/>
    <w:rsid w:val="2D980DDC"/>
    <w:rsid w:val="2D987372"/>
    <w:rsid w:val="2D9D0109"/>
    <w:rsid w:val="2DC66A91"/>
    <w:rsid w:val="2DC92AA1"/>
    <w:rsid w:val="2DCE5F69"/>
    <w:rsid w:val="2DDD4F0A"/>
    <w:rsid w:val="2DF42931"/>
    <w:rsid w:val="2E34792A"/>
    <w:rsid w:val="2E437E73"/>
    <w:rsid w:val="2E5034DC"/>
    <w:rsid w:val="2E572AB9"/>
    <w:rsid w:val="2E7258DC"/>
    <w:rsid w:val="2E79458E"/>
    <w:rsid w:val="2E797A78"/>
    <w:rsid w:val="2E7C6A94"/>
    <w:rsid w:val="2E8321A5"/>
    <w:rsid w:val="2E8D14A8"/>
    <w:rsid w:val="2E9F6D95"/>
    <w:rsid w:val="2EAE350B"/>
    <w:rsid w:val="2EB20A6C"/>
    <w:rsid w:val="2EBC2287"/>
    <w:rsid w:val="2ECA3116"/>
    <w:rsid w:val="2EDD7896"/>
    <w:rsid w:val="2EEA6E65"/>
    <w:rsid w:val="2EF33C7C"/>
    <w:rsid w:val="2F00052B"/>
    <w:rsid w:val="2F0367CD"/>
    <w:rsid w:val="2F1251F2"/>
    <w:rsid w:val="2F2D445E"/>
    <w:rsid w:val="2F4F6FBB"/>
    <w:rsid w:val="2F664E2B"/>
    <w:rsid w:val="2F6C7BE3"/>
    <w:rsid w:val="2F783485"/>
    <w:rsid w:val="2F7F5C0B"/>
    <w:rsid w:val="2FA0088D"/>
    <w:rsid w:val="2FA6492D"/>
    <w:rsid w:val="2FC03679"/>
    <w:rsid w:val="2FC86676"/>
    <w:rsid w:val="2FD17A1B"/>
    <w:rsid w:val="2FD71CA4"/>
    <w:rsid w:val="2FDC4A8D"/>
    <w:rsid w:val="2FF93066"/>
    <w:rsid w:val="301A71CE"/>
    <w:rsid w:val="301E049B"/>
    <w:rsid w:val="302A4BE6"/>
    <w:rsid w:val="304478EC"/>
    <w:rsid w:val="30515C8E"/>
    <w:rsid w:val="3069301C"/>
    <w:rsid w:val="307B0C38"/>
    <w:rsid w:val="30926F91"/>
    <w:rsid w:val="30962F3E"/>
    <w:rsid w:val="30AA2585"/>
    <w:rsid w:val="30C16A19"/>
    <w:rsid w:val="30CB5800"/>
    <w:rsid w:val="30D32236"/>
    <w:rsid w:val="30FA7530"/>
    <w:rsid w:val="30FF2795"/>
    <w:rsid w:val="310375CD"/>
    <w:rsid w:val="310E6387"/>
    <w:rsid w:val="311611B3"/>
    <w:rsid w:val="313C313D"/>
    <w:rsid w:val="313F6DC6"/>
    <w:rsid w:val="314E236F"/>
    <w:rsid w:val="315A7A1E"/>
    <w:rsid w:val="315E0B07"/>
    <w:rsid w:val="31621F46"/>
    <w:rsid w:val="316E7CA0"/>
    <w:rsid w:val="317206BF"/>
    <w:rsid w:val="317932EA"/>
    <w:rsid w:val="317E5000"/>
    <w:rsid w:val="31875BB4"/>
    <w:rsid w:val="31B718F2"/>
    <w:rsid w:val="31D20051"/>
    <w:rsid w:val="31E41C97"/>
    <w:rsid w:val="31EF7EE8"/>
    <w:rsid w:val="3201404F"/>
    <w:rsid w:val="320901F5"/>
    <w:rsid w:val="320B7CCB"/>
    <w:rsid w:val="32105DE8"/>
    <w:rsid w:val="3235187E"/>
    <w:rsid w:val="3237186B"/>
    <w:rsid w:val="323B6798"/>
    <w:rsid w:val="324A3219"/>
    <w:rsid w:val="32537B57"/>
    <w:rsid w:val="325779E7"/>
    <w:rsid w:val="325F618E"/>
    <w:rsid w:val="32757E99"/>
    <w:rsid w:val="327D43E5"/>
    <w:rsid w:val="328F5534"/>
    <w:rsid w:val="329A6ACE"/>
    <w:rsid w:val="32A145CA"/>
    <w:rsid w:val="32A230DB"/>
    <w:rsid w:val="32BE0772"/>
    <w:rsid w:val="32DF351E"/>
    <w:rsid w:val="32EE5E41"/>
    <w:rsid w:val="32F40F87"/>
    <w:rsid w:val="32FD7C76"/>
    <w:rsid w:val="330643F9"/>
    <w:rsid w:val="330C22FC"/>
    <w:rsid w:val="330D431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BF4199"/>
    <w:rsid w:val="33CD6498"/>
    <w:rsid w:val="33D04592"/>
    <w:rsid w:val="33D7554F"/>
    <w:rsid w:val="33FE62E7"/>
    <w:rsid w:val="340221A6"/>
    <w:rsid w:val="34080399"/>
    <w:rsid w:val="340D25F6"/>
    <w:rsid w:val="3429226D"/>
    <w:rsid w:val="342B76C7"/>
    <w:rsid w:val="343A1527"/>
    <w:rsid w:val="34447898"/>
    <w:rsid w:val="344E62FA"/>
    <w:rsid w:val="3472234D"/>
    <w:rsid w:val="347D500F"/>
    <w:rsid w:val="34830157"/>
    <w:rsid w:val="34872D27"/>
    <w:rsid w:val="348E58C4"/>
    <w:rsid w:val="349164BD"/>
    <w:rsid w:val="3499657C"/>
    <w:rsid w:val="34B961B7"/>
    <w:rsid w:val="34BD02AE"/>
    <w:rsid w:val="34DA26A8"/>
    <w:rsid w:val="34E960F1"/>
    <w:rsid w:val="350B42D5"/>
    <w:rsid w:val="350F6258"/>
    <w:rsid w:val="351A603C"/>
    <w:rsid w:val="352821F6"/>
    <w:rsid w:val="3533698A"/>
    <w:rsid w:val="35384CA5"/>
    <w:rsid w:val="35387F19"/>
    <w:rsid w:val="3539550B"/>
    <w:rsid w:val="356678B4"/>
    <w:rsid w:val="3573649F"/>
    <w:rsid w:val="357E4B0A"/>
    <w:rsid w:val="35853A75"/>
    <w:rsid w:val="35866D7F"/>
    <w:rsid w:val="358F6BDF"/>
    <w:rsid w:val="359818E2"/>
    <w:rsid w:val="35C06D50"/>
    <w:rsid w:val="35CD6F14"/>
    <w:rsid w:val="35D24294"/>
    <w:rsid w:val="35D71152"/>
    <w:rsid w:val="35FF6F3C"/>
    <w:rsid w:val="36075F27"/>
    <w:rsid w:val="360D1C5B"/>
    <w:rsid w:val="36121506"/>
    <w:rsid w:val="361D7A43"/>
    <w:rsid w:val="361F3323"/>
    <w:rsid w:val="36402EFA"/>
    <w:rsid w:val="36496A51"/>
    <w:rsid w:val="365623F6"/>
    <w:rsid w:val="368230C6"/>
    <w:rsid w:val="36843A03"/>
    <w:rsid w:val="368F7E4F"/>
    <w:rsid w:val="36985297"/>
    <w:rsid w:val="369F633B"/>
    <w:rsid w:val="36A30FDB"/>
    <w:rsid w:val="36A7007C"/>
    <w:rsid w:val="36B24AE8"/>
    <w:rsid w:val="36BD0DC4"/>
    <w:rsid w:val="36D51D00"/>
    <w:rsid w:val="36D66B5E"/>
    <w:rsid w:val="36E93760"/>
    <w:rsid w:val="36EA73B8"/>
    <w:rsid w:val="36FB4305"/>
    <w:rsid w:val="3708597F"/>
    <w:rsid w:val="3709624C"/>
    <w:rsid w:val="37096815"/>
    <w:rsid w:val="370F7060"/>
    <w:rsid w:val="37134801"/>
    <w:rsid w:val="37173233"/>
    <w:rsid w:val="371C344E"/>
    <w:rsid w:val="371C7953"/>
    <w:rsid w:val="37226558"/>
    <w:rsid w:val="3734159D"/>
    <w:rsid w:val="37382526"/>
    <w:rsid w:val="373B4C89"/>
    <w:rsid w:val="37503E6C"/>
    <w:rsid w:val="3758590A"/>
    <w:rsid w:val="375E77B2"/>
    <w:rsid w:val="37602E60"/>
    <w:rsid w:val="37736F26"/>
    <w:rsid w:val="378229A7"/>
    <w:rsid w:val="3784394E"/>
    <w:rsid w:val="37987437"/>
    <w:rsid w:val="379F33FC"/>
    <w:rsid w:val="37A432E4"/>
    <w:rsid w:val="37A86196"/>
    <w:rsid w:val="37AD1354"/>
    <w:rsid w:val="37BB3C3C"/>
    <w:rsid w:val="37C94031"/>
    <w:rsid w:val="37CA042E"/>
    <w:rsid w:val="37D44549"/>
    <w:rsid w:val="37D77B09"/>
    <w:rsid w:val="37D97EDE"/>
    <w:rsid w:val="37E76E34"/>
    <w:rsid w:val="380D02B1"/>
    <w:rsid w:val="382B1BDF"/>
    <w:rsid w:val="382E392C"/>
    <w:rsid w:val="38342E90"/>
    <w:rsid w:val="384B7332"/>
    <w:rsid w:val="385056AF"/>
    <w:rsid w:val="386652BF"/>
    <w:rsid w:val="38693DA0"/>
    <w:rsid w:val="386A7142"/>
    <w:rsid w:val="38706DCB"/>
    <w:rsid w:val="388E5848"/>
    <w:rsid w:val="38A341A7"/>
    <w:rsid w:val="38BA6810"/>
    <w:rsid w:val="38BD31EE"/>
    <w:rsid w:val="38CB3BDF"/>
    <w:rsid w:val="38D33D29"/>
    <w:rsid w:val="38D41CCF"/>
    <w:rsid w:val="38D62E18"/>
    <w:rsid w:val="38E40A5B"/>
    <w:rsid w:val="38E842BA"/>
    <w:rsid w:val="38F16A28"/>
    <w:rsid w:val="391A3359"/>
    <w:rsid w:val="39285D57"/>
    <w:rsid w:val="394B6470"/>
    <w:rsid w:val="395C6EA8"/>
    <w:rsid w:val="39872512"/>
    <w:rsid w:val="39A602F9"/>
    <w:rsid w:val="39BD45C8"/>
    <w:rsid w:val="39C2316A"/>
    <w:rsid w:val="39C44028"/>
    <w:rsid w:val="39E643EA"/>
    <w:rsid w:val="39F36281"/>
    <w:rsid w:val="39FA0290"/>
    <w:rsid w:val="39FD376D"/>
    <w:rsid w:val="39FD6C9C"/>
    <w:rsid w:val="3A0224B9"/>
    <w:rsid w:val="3A16728B"/>
    <w:rsid w:val="3A16794C"/>
    <w:rsid w:val="3A1F6809"/>
    <w:rsid w:val="3A226969"/>
    <w:rsid w:val="3A3F47CE"/>
    <w:rsid w:val="3A4E1C5D"/>
    <w:rsid w:val="3A523735"/>
    <w:rsid w:val="3A557AE4"/>
    <w:rsid w:val="3A6B0F84"/>
    <w:rsid w:val="3A727435"/>
    <w:rsid w:val="3A813EA6"/>
    <w:rsid w:val="3A94055A"/>
    <w:rsid w:val="3AB00167"/>
    <w:rsid w:val="3ABF30D9"/>
    <w:rsid w:val="3AC17E3A"/>
    <w:rsid w:val="3ACB5746"/>
    <w:rsid w:val="3ACE209E"/>
    <w:rsid w:val="3ADD1594"/>
    <w:rsid w:val="3ADD2B05"/>
    <w:rsid w:val="3AE417E3"/>
    <w:rsid w:val="3AE440AF"/>
    <w:rsid w:val="3AF7667E"/>
    <w:rsid w:val="3B113F51"/>
    <w:rsid w:val="3B192990"/>
    <w:rsid w:val="3B2D3716"/>
    <w:rsid w:val="3B307112"/>
    <w:rsid w:val="3B3E5BDD"/>
    <w:rsid w:val="3B4475EB"/>
    <w:rsid w:val="3B5A2A22"/>
    <w:rsid w:val="3B707794"/>
    <w:rsid w:val="3B7804A3"/>
    <w:rsid w:val="3B8E2153"/>
    <w:rsid w:val="3B8E482A"/>
    <w:rsid w:val="3B9B2072"/>
    <w:rsid w:val="3BA03B83"/>
    <w:rsid w:val="3BB20883"/>
    <w:rsid w:val="3BC34E75"/>
    <w:rsid w:val="3BCB270F"/>
    <w:rsid w:val="3BD96AA6"/>
    <w:rsid w:val="3BED002E"/>
    <w:rsid w:val="3BF73E90"/>
    <w:rsid w:val="3C0429BF"/>
    <w:rsid w:val="3C1A201A"/>
    <w:rsid w:val="3C2050B3"/>
    <w:rsid w:val="3C276807"/>
    <w:rsid w:val="3C371D4B"/>
    <w:rsid w:val="3C3B4B9D"/>
    <w:rsid w:val="3C3B7D68"/>
    <w:rsid w:val="3C413C82"/>
    <w:rsid w:val="3C471C36"/>
    <w:rsid w:val="3C4B0140"/>
    <w:rsid w:val="3C4D66ED"/>
    <w:rsid w:val="3C5A6B66"/>
    <w:rsid w:val="3C734413"/>
    <w:rsid w:val="3C923F62"/>
    <w:rsid w:val="3C982C18"/>
    <w:rsid w:val="3CA734F8"/>
    <w:rsid w:val="3CA95F71"/>
    <w:rsid w:val="3CC16893"/>
    <w:rsid w:val="3CC74223"/>
    <w:rsid w:val="3CC828D0"/>
    <w:rsid w:val="3CDB5F96"/>
    <w:rsid w:val="3CE23F49"/>
    <w:rsid w:val="3CEC39B8"/>
    <w:rsid w:val="3CF720E3"/>
    <w:rsid w:val="3CF72D6A"/>
    <w:rsid w:val="3CF86D06"/>
    <w:rsid w:val="3D00620E"/>
    <w:rsid w:val="3D035226"/>
    <w:rsid w:val="3D0738E1"/>
    <w:rsid w:val="3D316CDB"/>
    <w:rsid w:val="3D3707C6"/>
    <w:rsid w:val="3D3D6BBD"/>
    <w:rsid w:val="3D450F8C"/>
    <w:rsid w:val="3D4518DD"/>
    <w:rsid w:val="3D477118"/>
    <w:rsid w:val="3D594E54"/>
    <w:rsid w:val="3D62706F"/>
    <w:rsid w:val="3D6E2272"/>
    <w:rsid w:val="3D7C727A"/>
    <w:rsid w:val="3D81786B"/>
    <w:rsid w:val="3D830417"/>
    <w:rsid w:val="3D877AC5"/>
    <w:rsid w:val="3D882D35"/>
    <w:rsid w:val="3D8D2848"/>
    <w:rsid w:val="3D94235D"/>
    <w:rsid w:val="3D9461E1"/>
    <w:rsid w:val="3DB34E86"/>
    <w:rsid w:val="3DB90549"/>
    <w:rsid w:val="3DC46444"/>
    <w:rsid w:val="3DED0F96"/>
    <w:rsid w:val="3DF95812"/>
    <w:rsid w:val="3E1D4B24"/>
    <w:rsid w:val="3E237AF7"/>
    <w:rsid w:val="3E3A04FA"/>
    <w:rsid w:val="3E3D6B96"/>
    <w:rsid w:val="3E441C7D"/>
    <w:rsid w:val="3E490256"/>
    <w:rsid w:val="3E55739E"/>
    <w:rsid w:val="3E610D47"/>
    <w:rsid w:val="3E6C43C8"/>
    <w:rsid w:val="3E8227F0"/>
    <w:rsid w:val="3E937F82"/>
    <w:rsid w:val="3E9B4B40"/>
    <w:rsid w:val="3EB71AC8"/>
    <w:rsid w:val="3EC85E34"/>
    <w:rsid w:val="3ECF2AAC"/>
    <w:rsid w:val="3ED0424C"/>
    <w:rsid w:val="3ED07B7E"/>
    <w:rsid w:val="3ED655CD"/>
    <w:rsid w:val="3EED4B87"/>
    <w:rsid w:val="3EF31E7F"/>
    <w:rsid w:val="3EF36DF0"/>
    <w:rsid w:val="3F035EE1"/>
    <w:rsid w:val="3F0406D4"/>
    <w:rsid w:val="3F053EF6"/>
    <w:rsid w:val="3F093188"/>
    <w:rsid w:val="3F173F6B"/>
    <w:rsid w:val="3F1E1DE8"/>
    <w:rsid w:val="3F253B0C"/>
    <w:rsid w:val="3F2C04C4"/>
    <w:rsid w:val="3F3E7C9F"/>
    <w:rsid w:val="3F416B99"/>
    <w:rsid w:val="3F4F5AD7"/>
    <w:rsid w:val="3F5E37ED"/>
    <w:rsid w:val="3F643908"/>
    <w:rsid w:val="3F6B75A6"/>
    <w:rsid w:val="3F8C0A49"/>
    <w:rsid w:val="3F8E7DCD"/>
    <w:rsid w:val="3F913853"/>
    <w:rsid w:val="3F9660C3"/>
    <w:rsid w:val="3F9724DD"/>
    <w:rsid w:val="3FA514FA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3FFC05FC"/>
    <w:rsid w:val="40146E6B"/>
    <w:rsid w:val="403052F1"/>
    <w:rsid w:val="40330D29"/>
    <w:rsid w:val="404469FD"/>
    <w:rsid w:val="404A2717"/>
    <w:rsid w:val="404E779F"/>
    <w:rsid w:val="4059090D"/>
    <w:rsid w:val="4065170A"/>
    <w:rsid w:val="406E5CAB"/>
    <w:rsid w:val="40713C35"/>
    <w:rsid w:val="408376F8"/>
    <w:rsid w:val="40901AD0"/>
    <w:rsid w:val="40A25054"/>
    <w:rsid w:val="40A325E0"/>
    <w:rsid w:val="40B7228C"/>
    <w:rsid w:val="40BD0DA1"/>
    <w:rsid w:val="40EC7D18"/>
    <w:rsid w:val="40ED11A0"/>
    <w:rsid w:val="40FD1BF0"/>
    <w:rsid w:val="40FE7A3D"/>
    <w:rsid w:val="41096BC0"/>
    <w:rsid w:val="410A75B6"/>
    <w:rsid w:val="410B452A"/>
    <w:rsid w:val="41146D26"/>
    <w:rsid w:val="413353F1"/>
    <w:rsid w:val="41513BC9"/>
    <w:rsid w:val="41735B7F"/>
    <w:rsid w:val="419E60D3"/>
    <w:rsid w:val="41A339F5"/>
    <w:rsid w:val="41A36C7E"/>
    <w:rsid w:val="41AA4263"/>
    <w:rsid w:val="41C93F6C"/>
    <w:rsid w:val="41D75714"/>
    <w:rsid w:val="41DD3BC3"/>
    <w:rsid w:val="41EE2F03"/>
    <w:rsid w:val="41F466FD"/>
    <w:rsid w:val="42002BC7"/>
    <w:rsid w:val="42026B03"/>
    <w:rsid w:val="420D197F"/>
    <w:rsid w:val="42187EBE"/>
    <w:rsid w:val="42273D8C"/>
    <w:rsid w:val="4227435A"/>
    <w:rsid w:val="42300022"/>
    <w:rsid w:val="424B5824"/>
    <w:rsid w:val="42616DD3"/>
    <w:rsid w:val="426973AD"/>
    <w:rsid w:val="426F56CA"/>
    <w:rsid w:val="426F79D5"/>
    <w:rsid w:val="427A67A1"/>
    <w:rsid w:val="427E0B36"/>
    <w:rsid w:val="42A03D98"/>
    <w:rsid w:val="42A729F1"/>
    <w:rsid w:val="42B94BC1"/>
    <w:rsid w:val="42C30254"/>
    <w:rsid w:val="42C42A08"/>
    <w:rsid w:val="42C7649B"/>
    <w:rsid w:val="42D064B1"/>
    <w:rsid w:val="42D41F6D"/>
    <w:rsid w:val="42D5342A"/>
    <w:rsid w:val="42DE48A3"/>
    <w:rsid w:val="42E16058"/>
    <w:rsid w:val="42F17BF5"/>
    <w:rsid w:val="42F30D8B"/>
    <w:rsid w:val="42F87EC9"/>
    <w:rsid w:val="42FA45BF"/>
    <w:rsid w:val="430E7E66"/>
    <w:rsid w:val="4332317A"/>
    <w:rsid w:val="433246A0"/>
    <w:rsid w:val="433E162C"/>
    <w:rsid w:val="433F6B54"/>
    <w:rsid w:val="4346543A"/>
    <w:rsid w:val="43533E29"/>
    <w:rsid w:val="435B1259"/>
    <w:rsid w:val="436263D5"/>
    <w:rsid w:val="437556C4"/>
    <w:rsid w:val="437A5D15"/>
    <w:rsid w:val="43874CD4"/>
    <w:rsid w:val="438D061F"/>
    <w:rsid w:val="439B699F"/>
    <w:rsid w:val="43A41ACE"/>
    <w:rsid w:val="43AF2D32"/>
    <w:rsid w:val="43B76E4F"/>
    <w:rsid w:val="43CF0206"/>
    <w:rsid w:val="43D85D6D"/>
    <w:rsid w:val="43DF6B45"/>
    <w:rsid w:val="43EC6F1F"/>
    <w:rsid w:val="43FE44BA"/>
    <w:rsid w:val="440D5045"/>
    <w:rsid w:val="440F6C97"/>
    <w:rsid w:val="44171125"/>
    <w:rsid w:val="44300615"/>
    <w:rsid w:val="44371929"/>
    <w:rsid w:val="443740AF"/>
    <w:rsid w:val="443F5998"/>
    <w:rsid w:val="44480935"/>
    <w:rsid w:val="444851FA"/>
    <w:rsid w:val="44544CC5"/>
    <w:rsid w:val="445E4DEE"/>
    <w:rsid w:val="44640994"/>
    <w:rsid w:val="446B0434"/>
    <w:rsid w:val="44756A66"/>
    <w:rsid w:val="447E4EBE"/>
    <w:rsid w:val="447F0CBA"/>
    <w:rsid w:val="44957F46"/>
    <w:rsid w:val="44994CF5"/>
    <w:rsid w:val="44AD40AD"/>
    <w:rsid w:val="44DC46EB"/>
    <w:rsid w:val="44EA6491"/>
    <w:rsid w:val="44F03F8F"/>
    <w:rsid w:val="44F14ECF"/>
    <w:rsid w:val="44F8119B"/>
    <w:rsid w:val="4504328F"/>
    <w:rsid w:val="45275172"/>
    <w:rsid w:val="45332511"/>
    <w:rsid w:val="453F44DA"/>
    <w:rsid w:val="45412C46"/>
    <w:rsid w:val="45514AD5"/>
    <w:rsid w:val="4552412E"/>
    <w:rsid w:val="455908C0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E6191"/>
    <w:rsid w:val="45BE648C"/>
    <w:rsid w:val="45C661BC"/>
    <w:rsid w:val="45CA082F"/>
    <w:rsid w:val="45CD2126"/>
    <w:rsid w:val="45DD738A"/>
    <w:rsid w:val="45E372CD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4B28C8"/>
    <w:rsid w:val="464E0973"/>
    <w:rsid w:val="46531D97"/>
    <w:rsid w:val="46545CE0"/>
    <w:rsid w:val="46555DC3"/>
    <w:rsid w:val="46617DB2"/>
    <w:rsid w:val="46621065"/>
    <w:rsid w:val="466463D6"/>
    <w:rsid w:val="46665198"/>
    <w:rsid w:val="46697236"/>
    <w:rsid w:val="46770F8B"/>
    <w:rsid w:val="467C16FA"/>
    <w:rsid w:val="46894B18"/>
    <w:rsid w:val="469448C6"/>
    <w:rsid w:val="46A85D08"/>
    <w:rsid w:val="46AB0067"/>
    <w:rsid w:val="46B80AF8"/>
    <w:rsid w:val="46D37F0B"/>
    <w:rsid w:val="46D71533"/>
    <w:rsid w:val="46E53335"/>
    <w:rsid w:val="47155D89"/>
    <w:rsid w:val="473069AF"/>
    <w:rsid w:val="474A0EAF"/>
    <w:rsid w:val="474E50BE"/>
    <w:rsid w:val="47696F9C"/>
    <w:rsid w:val="47714F1F"/>
    <w:rsid w:val="47725A17"/>
    <w:rsid w:val="477D3243"/>
    <w:rsid w:val="478821A1"/>
    <w:rsid w:val="479128A9"/>
    <w:rsid w:val="47975EDC"/>
    <w:rsid w:val="47983B19"/>
    <w:rsid w:val="47A3609D"/>
    <w:rsid w:val="47C01792"/>
    <w:rsid w:val="47C57A48"/>
    <w:rsid w:val="47D511BD"/>
    <w:rsid w:val="4808150F"/>
    <w:rsid w:val="480F51A8"/>
    <w:rsid w:val="48256B1B"/>
    <w:rsid w:val="48282713"/>
    <w:rsid w:val="4831090D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736CF"/>
    <w:rsid w:val="48B116EA"/>
    <w:rsid w:val="48B74C7A"/>
    <w:rsid w:val="48BE32BF"/>
    <w:rsid w:val="48C354EC"/>
    <w:rsid w:val="48D429DD"/>
    <w:rsid w:val="48E01C77"/>
    <w:rsid w:val="48E22285"/>
    <w:rsid w:val="48E50D90"/>
    <w:rsid w:val="48EB0D16"/>
    <w:rsid w:val="48FA15CC"/>
    <w:rsid w:val="49027758"/>
    <w:rsid w:val="490C020A"/>
    <w:rsid w:val="491B63DF"/>
    <w:rsid w:val="491D63E9"/>
    <w:rsid w:val="4932285C"/>
    <w:rsid w:val="49384E02"/>
    <w:rsid w:val="493E2F78"/>
    <w:rsid w:val="495217DF"/>
    <w:rsid w:val="49530EA7"/>
    <w:rsid w:val="4958367A"/>
    <w:rsid w:val="498A16CD"/>
    <w:rsid w:val="49A33C27"/>
    <w:rsid w:val="49A750B5"/>
    <w:rsid w:val="49BE07DA"/>
    <w:rsid w:val="49C84AA0"/>
    <w:rsid w:val="49D7694D"/>
    <w:rsid w:val="4A0244D3"/>
    <w:rsid w:val="4A067C85"/>
    <w:rsid w:val="4A255046"/>
    <w:rsid w:val="4A2E1525"/>
    <w:rsid w:val="4A5A756D"/>
    <w:rsid w:val="4A722B4C"/>
    <w:rsid w:val="4A785772"/>
    <w:rsid w:val="4A842E43"/>
    <w:rsid w:val="4A89105B"/>
    <w:rsid w:val="4AA03A4E"/>
    <w:rsid w:val="4AA341CC"/>
    <w:rsid w:val="4AA8314E"/>
    <w:rsid w:val="4ABB5ACD"/>
    <w:rsid w:val="4AC13295"/>
    <w:rsid w:val="4AC31003"/>
    <w:rsid w:val="4AC40F4C"/>
    <w:rsid w:val="4AC43783"/>
    <w:rsid w:val="4AD25F33"/>
    <w:rsid w:val="4AD61645"/>
    <w:rsid w:val="4ADD641F"/>
    <w:rsid w:val="4AE072CB"/>
    <w:rsid w:val="4AE93159"/>
    <w:rsid w:val="4AEE0C43"/>
    <w:rsid w:val="4AF02EA1"/>
    <w:rsid w:val="4B174032"/>
    <w:rsid w:val="4B250CF8"/>
    <w:rsid w:val="4B2873FD"/>
    <w:rsid w:val="4B344964"/>
    <w:rsid w:val="4B3D4DE9"/>
    <w:rsid w:val="4B492D39"/>
    <w:rsid w:val="4B533766"/>
    <w:rsid w:val="4B740C56"/>
    <w:rsid w:val="4B7C4100"/>
    <w:rsid w:val="4B830F9B"/>
    <w:rsid w:val="4B8F2DD0"/>
    <w:rsid w:val="4B9B06E8"/>
    <w:rsid w:val="4B9B0C47"/>
    <w:rsid w:val="4B9D4011"/>
    <w:rsid w:val="4BB36BDD"/>
    <w:rsid w:val="4BB60507"/>
    <w:rsid w:val="4BC32290"/>
    <w:rsid w:val="4BC80340"/>
    <w:rsid w:val="4BCA5171"/>
    <w:rsid w:val="4BD0339A"/>
    <w:rsid w:val="4BEB4B03"/>
    <w:rsid w:val="4BF32495"/>
    <w:rsid w:val="4BFA3FA2"/>
    <w:rsid w:val="4C2910DF"/>
    <w:rsid w:val="4C2B4DDD"/>
    <w:rsid w:val="4C562920"/>
    <w:rsid w:val="4C5D1F92"/>
    <w:rsid w:val="4C603F16"/>
    <w:rsid w:val="4C6262E0"/>
    <w:rsid w:val="4C644C45"/>
    <w:rsid w:val="4C6703A3"/>
    <w:rsid w:val="4C6D7518"/>
    <w:rsid w:val="4C923A72"/>
    <w:rsid w:val="4CB96B0F"/>
    <w:rsid w:val="4CBD582C"/>
    <w:rsid w:val="4CC95E72"/>
    <w:rsid w:val="4CDA2AF3"/>
    <w:rsid w:val="4CDF19B6"/>
    <w:rsid w:val="4CE34E9F"/>
    <w:rsid w:val="4CF52D94"/>
    <w:rsid w:val="4D015C34"/>
    <w:rsid w:val="4D030742"/>
    <w:rsid w:val="4D462159"/>
    <w:rsid w:val="4D47409F"/>
    <w:rsid w:val="4D525BE3"/>
    <w:rsid w:val="4D566017"/>
    <w:rsid w:val="4D6022FC"/>
    <w:rsid w:val="4D637556"/>
    <w:rsid w:val="4D7D3EFB"/>
    <w:rsid w:val="4D882A74"/>
    <w:rsid w:val="4D8B0123"/>
    <w:rsid w:val="4DA1281F"/>
    <w:rsid w:val="4DAF14C5"/>
    <w:rsid w:val="4DB9067A"/>
    <w:rsid w:val="4DC605B6"/>
    <w:rsid w:val="4DD732D2"/>
    <w:rsid w:val="4DEC0985"/>
    <w:rsid w:val="4E0538A3"/>
    <w:rsid w:val="4E0E6818"/>
    <w:rsid w:val="4E2603A1"/>
    <w:rsid w:val="4E27683A"/>
    <w:rsid w:val="4E321D35"/>
    <w:rsid w:val="4E397241"/>
    <w:rsid w:val="4E4C50A3"/>
    <w:rsid w:val="4E510698"/>
    <w:rsid w:val="4E576363"/>
    <w:rsid w:val="4E5D49B1"/>
    <w:rsid w:val="4E635567"/>
    <w:rsid w:val="4E674786"/>
    <w:rsid w:val="4E742982"/>
    <w:rsid w:val="4E743D7E"/>
    <w:rsid w:val="4E7F1E8F"/>
    <w:rsid w:val="4E8431F9"/>
    <w:rsid w:val="4E862481"/>
    <w:rsid w:val="4E901072"/>
    <w:rsid w:val="4E9C0636"/>
    <w:rsid w:val="4E9D29FB"/>
    <w:rsid w:val="4EA30DB6"/>
    <w:rsid w:val="4EA7341F"/>
    <w:rsid w:val="4EDB58B2"/>
    <w:rsid w:val="4EE925CE"/>
    <w:rsid w:val="4EEB1A94"/>
    <w:rsid w:val="4EEB74E5"/>
    <w:rsid w:val="4EEF2E30"/>
    <w:rsid w:val="4EF24828"/>
    <w:rsid w:val="4EFE7F59"/>
    <w:rsid w:val="4F285975"/>
    <w:rsid w:val="4F2A7BF3"/>
    <w:rsid w:val="4F2E2624"/>
    <w:rsid w:val="4F4E1077"/>
    <w:rsid w:val="4F546156"/>
    <w:rsid w:val="4F5D1434"/>
    <w:rsid w:val="4F844A99"/>
    <w:rsid w:val="4F94662C"/>
    <w:rsid w:val="4FB00163"/>
    <w:rsid w:val="4FB208E7"/>
    <w:rsid w:val="4FCF69F3"/>
    <w:rsid w:val="4FE30332"/>
    <w:rsid w:val="4FE70BB4"/>
    <w:rsid w:val="4FE73C01"/>
    <w:rsid w:val="4FE87C31"/>
    <w:rsid w:val="4FEE342A"/>
    <w:rsid w:val="4FF14DCF"/>
    <w:rsid w:val="500815B6"/>
    <w:rsid w:val="500B39BC"/>
    <w:rsid w:val="502173F8"/>
    <w:rsid w:val="5022123F"/>
    <w:rsid w:val="5025703C"/>
    <w:rsid w:val="502B7315"/>
    <w:rsid w:val="503E570B"/>
    <w:rsid w:val="503F32CF"/>
    <w:rsid w:val="5041152A"/>
    <w:rsid w:val="504C77D2"/>
    <w:rsid w:val="50560460"/>
    <w:rsid w:val="50601A5C"/>
    <w:rsid w:val="507E1B25"/>
    <w:rsid w:val="508E3B94"/>
    <w:rsid w:val="508E4492"/>
    <w:rsid w:val="5090223F"/>
    <w:rsid w:val="50924591"/>
    <w:rsid w:val="50A649F5"/>
    <w:rsid w:val="50AB5EB6"/>
    <w:rsid w:val="50AE6FE2"/>
    <w:rsid w:val="50B16618"/>
    <w:rsid w:val="50B8216D"/>
    <w:rsid w:val="50BB6306"/>
    <w:rsid w:val="50CD2E4B"/>
    <w:rsid w:val="50D03285"/>
    <w:rsid w:val="50F66F3D"/>
    <w:rsid w:val="50F8688B"/>
    <w:rsid w:val="50F96AD6"/>
    <w:rsid w:val="50FC4E36"/>
    <w:rsid w:val="5105169B"/>
    <w:rsid w:val="51062881"/>
    <w:rsid w:val="510861B3"/>
    <w:rsid w:val="510956BD"/>
    <w:rsid w:val="51230220"/>
    <w:rsid w:val="51255E87"/>
    <w:rsid w:val="512E3411"/>
    <w:rsid w:val="51471753"/>
    <w:rsid w:val="514E4912"/>
    <w:rsid w:val="515400FF"/>
    <w:rsid w:val="51547D82"/>
    <w:rsid w:val="515D735D"/>
    <w:rsid w:val="51781A83"/>
    <w:rsid w:val="51867298"/>
    <w:rsid w:val="51894D69"/>
    <w:rsid w:val="518D21E1"/>
    <w:rsid w:val="51930297"/>
    <w:rsid w:val="51953936"/>
    <w:rsid w:val="519E116A"/>
    <w:rsid w:val="51A2793A"/>
    <w:rsid w:val="51BA0CB7"/>
    <w:rsid w:val="51D129CA"/>
    <w:rsid w:val="51D93F8A"/>
    <w:rsid w:val="51D940B1"/>
    <w:rsid w:val="51E5046A"/>
    <w:rsid w:val="52272B85"/>
    <w:rsid w:val="52284E31"/>
    <w:rsid w:val="523E09B5"/>
    <w:rsid w:val="52687B2A"/>
    <w:rsid w:val="526E0E82"/>
    <w:rsid w:val="527733A7"/>
    <w:rsid w:val="527901C6"/>
    <w:rsid w:val="528F4A24"/>
    <w:rsid w:val="52944BB6"/>
    <w:rsid w:val="529A08FC"/>
    <w:rsid w:val="52A24532"/>
    <w:rsid w:val="52B3363A"/>
    <w:rsid w:val="52C4763C"/>
    <w:rsid w:val="52DE691D"/>
    <w:rsid w:val="52E04D27"/>
    <w:rsid w:val="52ED0C96"/>
    <w:rsid w:val="53061721"/>
    <w:rsid w:val="530C0E6B"/>
    <w:rsid w:val="532F77EA"/>
    <w:rsid w:val="53367575"/>
    <w:rsid w:val="533933AA"/>
    <w:rsid w:val="533B7F54"/>
    <w:rsid w:val="535009E1"/>
    <w:rsid w:val="53650168"/>
    <w:rsid w:val="536C2A29"/>
    <w:rsid w:val="538859E4"/>
    <w:rsid w:val="538E3092"/>
    <w:rsid w:val="539F394B"/>
    <w:rsid w:val="53A20FFA"/>
    <w:rsid w:val="53A233E4"/>
    <w:rsid w:val="53A94C48"/>
    <w:rsid w:val="53AA7BC7"/>
    <w:rsid w:val="53AE5EA5"/>
    <w:rsid w:val="53B00B1F"/>
    <w:rsid w:val="53B2409D"/>
    <w:rsid w:val="53B31E73"/>
    <w:rsid w:val="53CC1289"/>
    <w:rsid w:val="53D6247A"/>
    <w:rsid w:val="53DB3477"/>
    <w:rsid w:val="53DE00FF"/>
    <w:rsid w:val="53E77CBF"/>
    <w:rsid w:val="53FE7128"/>
    <w:rsid w:val="540F3D40"/>
    <w:rsid w:val="54201800"/>
    <w:rsid w:val="54247F22"/>
    <w:rsid w:val="542B4430"/>
    <w:rsid w:val="542C29CD"/>
    <w:rsid w:val="542F1551"/>
    <w:rsid w:val="54381756"/>
    <w:rsid w:val="545750B7"/>
    <w:rsid w:val="545A1EBF"/>
    <w:rsid w:val="54727478"/>
    <w:rsid w:val="54B06F11"/>
    <w:rsid w:val="54B56DF4"/>
    <w:rsid w:val="54B93943"/>
    <w:rsid w:val="54BE5578"/>
    <w:rsid w:val="54BF52B5"/>
    <w:rsid w:val="54CA1A63"/>
    <w:rsid w:val="54CF2D6E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B7F0A"/>
    <w:rsid w:val="552A6B56"/>
    <w:rsid w:val="5532385A"/>
    <w:rsid w:val="55381D42"/>
    <w:rsid w:val="553C58B1"/>
    <w:rsid w:val="55401B14"/>
    <w:rsid w:val="554748F2"/>
    <w:rsid w:val="554D414C"/>
    <w:rsid w:val="554E7279"/>
    <w:rsid w:val="55594FFB"/>
    <w:rsid w:val="55637CEB"/>
    <w:rsid w:val="55677DDA"/>
    <w:rsid w:val="55757FB9"/>
    <w:rsid w:val="55832BF8"/>
    <w:rsid w:val="55884237"/>
    <w:rsid w:val="558C7FAA"/>
    <w:rsid w:val="55900510"/>
    <w:rsid w:val="55947881"/>
    <w:rsid w:val="55A25EB7"/>
    <w:rsid w:val="55A82784"/>
    <w:rsid w:val="55A97512"/>
    <w:rsid w:val="55B63FD5"/>
    <w:rsid w:val="55C35A76"/>
    <w:rsid w:val="55CC592A"/>
    <w:rsid w:val="55D40743"/>
    <w:rsid w:val="55DD6F2A"/>
    <w:rsid w:val="55E73480"/>
    <w:rsid w:val="55E8339E"/>
    <w:rsid w:val="55F06771"/>
    <w:rsid w:val="560D5F48"/>
    <w:rsid w:val="56106284"/>
    <w:rsid w:val="56116434"/>
    <w:rsid w:val="5617461D"/>
    <w:rsid w:val="56304FC4"/>
    <w:rsid w:val="5632642A"/>
    <w:rsid w:val="5637362F"/>
    <w:rsid w:val="56375B61"/>
    <w:rsid w:val="564944F4"/>
    <w:rsid w:val="564E5820"/>
    <w:rsid w:val="564E7F2C"/>
    <w:rsid w:val="56630C00"/>
    <w:rsid w:val="567739D2"/>
    <w:rsid w:val="56775A0A"/>
    <w:rsid w:val="5686536D"/>
    <w:rsid w:val="568B1DB1"/>
    <w:rsid w:val="568C3C94"/>
    <w:rsid w:val="56A55214"/>
    <w:rsid w:val="56A67978"/>
    <w:rsid w:val="56AC63C5"/>
    <w:rsid w:val="56C1700B"/>
    <w:rsid w:val="56D25618"/>
    <w:rsid w:val="56D7644B"/>
    <w:rsid w:val="56E84A97"/>
    <w:rsid w:val="56FB2A68"/>
    <w:rsid w:val="57011F3E"/>
    <w:rsid w:val="5705646B"/>
    <w:rsid w:val="57060649"/>
    <w:rsid w:val="572657E3"/>
    <w:rsid w:val="5732705F"/>
    <w:rsid w:val="57351D6F"/>
    <w:rsid w:val="57482CC2"/>
    <w:rsid w:val="5752012F"/>
    <w:rsid w:val="576476C1"/>
    <w:rsid w:val="57770501"/>
    <w:rsid w:val="577B3337"/>
    <w:rsid w:val="577D4F28"/>
    <w:rsid w:val="57A33734"/>
    <w:rsid w:val="57AB6ADD"/>
    <w:rsid w:val="57B7178E"/>
    <w:rsid w:val="57B71EB5"/>
    <w:rsid w:val="57B723B5"/>
    <w:rsid w:val="57B76EED"/>
    <w:rsid w:val="57BD72A7"/>
    <w:rsid w:val="57BE5838"/>
    <w:rsid w:val="57BE5B51"/>
    <w:rsid w:val="57D82354"/>
    <w:rsid w:val="57FC07D9"/>
    <w:rsid w:val="57FF6992"/>
    <w:rsid w:val="580F1B21"/>
    <w:rsid w:val="581B7E79"/>
    <w:rsid w:val="583D4C48"/>
    <w:rsid w:val="58500F22"/>
    <w:rsid w:val="58587379"/>
    <w:rsid w:val="586D57A3"/>
    <w:rsid w:val="587917A0"/>
    <w:rsid w:val="587A4288"/>
    <w:rsid w:val="5880052B"/>
    <w:rsid w:val="58AD27D9"/>
    <w:rsid w:val="58B169A2"/>
    <w:rsid w:val="58B9636C"/>
    <w:rsid w:val="58C37133"/>
    <w:rsid w:val="58C93046"/>
    <w:rsid w:val="58D36BCB"/>
    <w:rsid w:val="58E00BA4"/>
    <w:rsid w:val="58E6349C"/>
    <w:rsid w:val="58EF63EE"/>
    <w:rsid w:val="590317F0"/>
    <w:rsid w:val="59075000"/>
    <w:rsid w:val="593559FD"/>
    <w:rsid w:val="594079B2"/>
    <w:rsid w:val="596A688E"/>
    <w:rsid w:val="5987482A"/>
    <w:rsid w:val="598C6F19"/>
    <w:rsid w:val="599C49A8"/>
    <w:rsid w:val="59A36725"/>
    <w:rsid w:val="59B21BF9"/>
    <w:rsid w:val="59BB4EA3"/>
    <w:rsid w:val="59E9525B"/>
    <w:rsid w:val="59EA4433"/>
    <w:rsid w:val="59F01012"/>
    <w:rsid w:val="59F70BAF"/>
    <w:rsid w:val="5A0D5C90"/>
    <w:rsid w:val="5A0F4AFB"/>
    <w:rsid w:val="5A297D0D"/>
    <w:rsid w:val="5A3B166C"/>
    <w:rsid w:val="5A3C0F08"/>
    <w:rsid w:val="5A3E5B83"/>
    <w:rsid w:val="5A54407C"/>
    <w:rsid w:val="5A5663A3"/>
    <w:rsid w:val="5A571746"/>
    <w:rsid w:val="5A6253E3"/>
    <w:rsid w:val="5A680E5C"/>
    <w:rsid w:val="5A7D10B2"/>
    <w:rsid w:val="5A8E2B19"/>
    <w:rsid w:val="5A8E6670"/>
    <w:rsid w:val="5A912613"/>
    <w:rsid w:val="5A9245E9"/>
    <w:rsid w:val="5A953D41"/>
    <w:rsid w:val="5ABC50F4"/>
    <w:rsid w:val="5AC27E1F"/>
    <w:rsid w:val="5ACC4940"/>
    <w:rsid w:val="5AD23086"/>
    <w:rsid w:val="5AD86A6D"/>
    <w:rsid w:val="5AEC14F6"/>
    <w:rsid w:val="5AF124A4"/>
    <w:rsid w:val="5B0D2D1B"/>
    <w:rsid w:val="5B141085"/>
    <w:rsid w:val="5B28192B"/>
    <w:rsid w:val="5B342BAD"/>
    <w:rsid w:val="5B4007EF"/>
    <w:rsid w:val="5B4D1F7C"/>
    <w:rsid w:val="5B551A1D"/>
    <w:rsid w:val="5B66707B"/>
    <w:rsid w:val="5B673066"/>
    <w:rsid w:val="5B6A48A8"/>
    <w:rsid w:val="5B731FA9"/>
    <w:rsid w:val="5B785E83"/>
    <w:rsid w:val="5B7C1CD1"/>
    <w:rsid w:val="5B9004A9"/>
    <w:rsid w:val="5B907C6C"/>
    <w:rsid w:val="5B9251EF"/>
    <w:rsid w:val="5BAB5BC4"/>
    <w:rsid w:val="5BB054DF"/>
    <w:rsid w:val="5BB20B74"/>
    <w:rsid w:val="5BC677D8"/>
    <w:rsid w:val="5BEB0120"/>
    <w:rsid w:val="5BEC175C"/>
    <w:rsid w:val="5C097C4E"/>
    <w:rsid w:val="5C1A3A93"/>
    <w:rsid w:val="5C235386"/>
    <w:rsid w:val="5C3B6CFC"/>
    <w:rsid w:val="5C4C2CF4"/>
    <w:rsid w:val="5C615117"/>
    <w:rsid w:val="5C6B1600"/>
    <w:rsid w:val="5C7D70D1"/>
    <w:rsid w:val="5C824577"/>
    <w:rsid w:val="5C8542A8"/>
    <w:rsid w:val="5CA6294E"/>
    <w:rsid w:val="5CDB3358"/>
    <w:rsid w:val="5CE033FF"/>
    <w:rsid w:val="5CED4E0C"/>
    <w:rsid w:val="5CF07F33"/>
    <w:rsid w:val="5D034EE9"/>
    <w:rsid w:val="5D0366E8"/>
    <w:rsid w:val="5D08684C"/>
    <w:rsid w:val="5D0A06B6"/>
    <w:rsid w:val="5D1307E8"/>
    <w:rsid w:val="5D212A05"/>
    <w:rsid w:val="5D246A7A"/>
    <w:rsid w:val="5D28584C"/>
    <w:rsid w:val="5D2F4802"/>
    <w:rsid w:val="5D3444E6"/>
    <w:rsid w:val="5D3F0BDF"/>
    <w:rsid w:val="5D4806B6"/>
    <w:rsid w:val="5D5B7098"/>
    <w:rsid w:val="5D634782"/>
    <w:rsid w:val="5D654194"/>
    <w:rsid w:val="5D6B2B6F"/>
    <w:rsid w:val="5D6E1B86"/>
    <w:rsid w:val="5D725A84"/>
    <w:rsid w:val="5D8A2CFF"/>
    <w:rsid w:val="5D960EE9"/>
    <w:rsid w:val="5D9A0CFA"/>
    <w:rsid w:val="5D9B296A"/>
    <w:rsid w:val="5DA53D05"/>
    <w:rsid w:val="5DD14397"/>
    <w:rsid w:val="5DD3123F"/>
    <w:rsid w:val="5DD45E00"/>
    <w:rsid w:val="5DD71C7A"/>
    <w:rsid w:val="5DD734EC"/>
    <w:rsid w:val="5DD977EF"/>
    <w:rsid w:val="5DDA4F5F"/>
    <w:rsid w:val="5DEC05A1"/>
    <w:rsid w:val="5DEE0433"/>
    <w:rsid w:val="5DF007E7"/>
    <w:rsid w:val="5DF47D03"/>
    <w:rsid w:val="5DFD51DB"/>
    <w:rsid w:val="5E0173CB"/>
    <w:rsid w:val="5E0B0848"/>
    <w:rsid w:val="5E1D4A67"/>
    <w:rsid w:val="5E1E3787"/>
    <w:rsid w:val="5E1F2E4C"/>
    <w:rsid w:val="5E237029"/>
    <w:rsid w:val="5E3A3BD1"/>
    <w:rsid w:val="5E4F1C2F"/>
    <w:rsid w:val="5E5203B8"/>
    <w:rsid w:val="5E584B02"/>
    <w:rsid w:val="5E5D7D0E"/>
    <w:rsid w:val="5E6A5399"/>
    <w:rsid w:val="5E71373F"/>
    <w:rsid w:val="5E717191"/>
    <w:rsid w:val="5E830708"/>
    <w:rsid w:val="5E831398"/>
    <w:rsid w:val="5E85633A"/>
    <w:rsid w:val="5E921A45"/>
    <w:rsid w:val="5E975993"/>
    <w:rsid w:val="5EB51FDE"/>
    <w:rsid w:val="5EBA4472"/>
    <w:rsid w:val="5EC3227D"/>
    <w:rsid w:val="5ECA3D37"/>
    <w:rsid w:val="5ED74802"/>
    <w:rsid w:val="5EE153F8"/>
    <w:rsid w:val="5EED7893"/>
    <w:rsid w:val="5EFB2125"/>
    <w:rsid w:val="5EFB6F0A"/>
    <w:rsid w:val="5F0A3A61"/>
    <w:rsid w:val="5F3370DF"/>
    <w:rsid w:val="5F491124"/>
    <w:rsid w:val="5F683B6E"/>
    <w:rsid w:val="5F7D5B44"/>
    <w:rsid w:val="5F875C0C"/>
    <w:rsid w:val="5F892431"/>
    <w:rsid w:val="5F8F0B9E"/>
    <w:rsid w:val="5F8F267A"/>
    <w:rsid w:val="5FAA5E0A"/>
    <w:rsid w:val="5FB7185B"/>
    <w:rsid w:val="5FB94C48"/>
    <w:rsid w:val="5FC9714B"/>
    <w:rsid w:val="5FD74F41"/>
    <w:rsid w:val="5FDE327E"/>
    <w:rsid w:val="5FF37587"/>
    <w:rsid w:val="5FFE57B7"/>
    <w:rsid w:val="6003478C"/>
    <w:rsid w:val="60060CD5"/>
    <w:rsid w:val="60085AA3"/>
    <w:rsid w:val="600E362B"/>
    <w:rsid w:val="60183392"/>
    <w:rsid w:val="601A4CB1"/>
    <w:rsid w:val="601B56CB"/>
    <w:rsid w:val="602C236D"/>
    <w:rsid w:val="603967D7"/>
    <w:rsid w:val="603D3325"/>
    <w:rsid w:val="604040A8"/>
    <w:rsid w:val="60470CE3"/>
    <w:rsid w:val="605214E2"/>
    <w:rsid w:val="606711B4"/>
    <w:rsid w:val="60673C40"/>
    <w:rsid w:val="606A52D4"/>
    <w:rsid w:val="607C3753"/>
    <w:rsid w:val="608C09C9"/>
    <w:rsid w:val="608D1D4E"/>
    <w:rsid w:val="6092569C"/>
    <w:rsid w:val="60964430"/>
    <w:rsid w:val="609A6239"/>
    <w:rsid w:val="60AD0357"/>
    <w:rsid w:val="60B004BE"/>
    <w:rsid w:val="60BA604C"/>
    <w:rsid w:val="60C302BA"/>
    <w:rsid w:val="60C30855"/>
    <w:rsid w:val="60C338B1"/>
    <w:rsid w:val="60D4742F"/>
    <w:rsid w:val="60D95276"/>
    <w:rsid w:val="60E06DEB"/>
    <w:rsid w:val="60E51841"/>
    <w:rsid w:val="61110088"/>
    <w:rsid w:val="61315D5E"/>
    <w:rsid w:val="61421EFD"/>
    <w:rsid w:val="615C5041"/>
    <w:rsid w:val="617A6EE7"/>
    <w:rsid w:val="6182260C"/>
    <w:rsid w:val="618D6AD7"/>
    <w:rsid w:val="619E7CE8"/>
    <w:rsid w:val="61AD68BC"/>
    <w:rsid w:val="61B173D2"/>
    <w:rsid w:val="61D43A2B"/>
    <w:rsid w:val="61E34474"/>
    <w:rsid w:val="61EB5611"/>
    <w:rsid w:val="61FF316E"/>
    <w:rsid w:val="621542CB"/>
    <w:rsid w:val="622A0761"/>
    <w:rsid w:val="624263A2"/>
    <w:rsid w:val="625272C3"/>
    <w:rsid w:val="626B336E"/>
    <w:rsid w:val="626E0821"/>
    <w:rsid w:val="62715337"/>
    <w:rsid w:val="6280204D"/>
    <w:rsid w:val="62866909"/>
    <w:rsid w:val="6290769B"/>
    <w:rsid w:val="62943D08"/>
    <w:rsid w:val="62A05735"/>
    <w:rsid w:val="62A411F8"/>
    <w:rsid w:val="62A81A26"/>
    <w:rsid w:val="62B1166E"/>
    <w:rsid w:val="62BA7A46"/>
    <w:rsid w:val="62C376AC"/>
    <w:rsid w:val="62CE13CB"/>
    <w:rsid w:val="62D2197B"/>
    <w:rsid w:val="62DB028F"/>
    <w:rsid w:val="62F458F9"/>
    <w:rsid w:val="62F6011A"/>
    <w:rsid w:val="62FD2BA9"/>
    <w:rsid w:val="6327422B"/>
    <w:rsid w:val="6328597C"/>
    <w:rsid w:val="633B249F"/>
    <w:rsid w:val="63474991"/>
    <w:rsid w:val="63552D76"/>
    <w:rsid w:val="6359778B"/>
    <w:rsid w:val="635B63E3"/>
    <w:rsid w:val="63710D45"/>
    <w:rsid w:val="63785E35"/>
    <w:rsid w:val="638C3395"/>
    <w:rsid w:val="63B82D87"/>
    <w:rsid w:val="63BA3154"/>
    <w:rsid w:val="63C204B8"/>
    <w:rsid w:val="63CA2E8B"/>
    <w:rsid w:val="63D4153E"/>
    <w:rsid w:val="63DC7755"/>
    <w:rsid w:val="63E43D21"/>
    <w:rsid w:val="63F47D2A"/>
    <w:rsid w:val="63FE2D33"/>
    <w:rsid w:val="64046427"/>
    <w:rsid w:val="640F1891"/>
    <w:rsid w:val="642265C6"/>
    <w:rsid w:val="64264A79"/>
    <w:rsid w:val="64304E58"/>
    <w:rsid w:val="64311867"/>
    <w:rsid w:val="64391ED3"/>
    <w:rsid w:val="6445632E"/>
    <w:rsid w:val="64501C8A"/>
    <w:rsid w:val="64742B63"/>
    <w:rsid w:val="647E661E"/>
    <w:rsid w:val="648939AA"/>
    <w:rsid w:val="648C635C"/>
    <w:rsid w:val="649B1AC2"/>
    <w:rsid w:val="64A146DF"/>
    <w:rsid w:val="64A7467B"/>
    <w:rsid w:val="64B53322"/>
    <w:rsid w:val="64C61AF8"/>
    <w:rsid w:val="64C86505"/>
    <w:rsid w:val="64FE700F"/>
    <w:rsid w:val="6500327F"/>
    <w:rsid w:val="6506609B"/>
    <w:rsid w:val="65083216"/>
    <w:rsid w:val="65460728"/>
    <w:rsid w:val="65822810"/>
    <w:rsid w:val="65870C45"/>
    <w:rsid w:val="659705FF"/>
    <w:rsid w:val="65AA6346"/>
    <w:rsid w:val="65B56C47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7091E"/>
    <w:rsid w:val="65FF0498"/>
    <w:rsid w:val="66052F43"/>
    <w:rsid w:val="6609487E"/>
    <w:rsid w:val="661C7C9A"/>
    <w:rsid w:val="661D25CE"/>
    <w:rsid w:val="66206CF2"/>
    <w:rsid w:val="66265846"/>
    <w:rsid w:val="66287C9C"/>
    <w:rsid w:val="662E4097"/>
    <w:rsid w:val="664805B8"/>
    <w:rsid w:val="665572E9"/>
    <w:rsid w:val="665A3D63"/>
    <w:rsid w:val="665B55EA"/>
    <w:rsid w:val="66641D58"/>
    <w:rsid w:val="66655F85"/>
    <w:rsid w:val="667C7AEC"/>
    <w:rsid w:val="66863A0F"/>
    <w:rsid w:val="66984358"/>
    <w:rsid w:val="669B7C76"/>
    <w:rsid w:val="66A200F8"/>
    <w:rsid w:val="66A30EC2"/>
    <w:rsid w:val="66AA4BA8"/>
    <w:rsid w:val="66C56058"/>
    <w:rsid w:val="66C955BD"/>
    <w:rsid w:val="66D97420"/>
    <w:rsid w:val="66DC317D"/>
    <w:rsid w:val="66E10E78"/>
    <w:rsid w:val="66E617C5"/>
    <w:rsid w:val="66E910C9"/>
    <w:rsid w:val="670C6D27"/>
    <w:rsid w:val="670D67CE"/>
    <w:rsid w:val="67105BAB"/>
    <w:rsid w:val="671B1631"/>
    <w:rsid w:val="67302DC3"/>
    <w:rsid w:val="674318B2"/>
    <w:rsid w:val="674D4B22"/>
    <w:rsid w:val="67570422"/>
    <w:rsid w:val="675D31B4"/>
    <w:rsid w:val="67646948"/>
    <w:rsid w:val="676D2F4B"/>
    <w:rsid w:val="677A266A"/>
    <w:rsid w:val="677C1A81"/>
    <w:rsid w:val="677E7198"/>
    <w:rsid w:val="678A426A"/>
    <w:rsid w:val="67914BE1"/>
    <w:rsid w:val="67A01F16"/>
    <w:rsid w:val="67A96661"/>
    <w:rsid w:val="67B163D1"/>
    <w:rsid w:val="67D7447D"/>
    <w:rsid w:val="67F45538"/>
    <w:rsid w:val="680239EB"/>
    <w:rsid w:val="68034597"/>
    <w:rsid w:val="680722DA"/>
    <w:rsid w:val="682211D1"/>
    <w:rsid w:val="6836510C"/>
    <w:rsid w:val="685C6395"/>
    <w:rsid w:val="686318DD"/>
    <w:rsid w:val="68635145"/>
    <w:rsid w:val="687F607E"/>
    <w:rsid w:val="689A41FB"/>
    <w:rsid w:val="689E57F0"/>
    <w:rsid w:val="68A34C5C"/>
    <w:rsid w:val="68B85B1E"/>
    <w:rsid w:val="68E24981"/>
    <w:rsid w:val="69123F86"/>
    <w:rsid w:val="691C1D81"/>
    <w:rsid w:val="691C3525"/>
    <w:rsid w:val="69216128"/>
    <w:rsid w:val="69280874"/>
    <w:rsid w:val="695D6B21"/>
    <w:rsid w:val="69611EE7"/>
    <w:rsid w:val="696C708E"/>
    <w:rsid w:val="696F4D5D"/>
    <w:rsid w:val="69850877"/>
    <w:rsid w:val="698C13C5"/>
    <w:rsid w:val="69BA3522"/>
    <w:rsid w:val="69F0745A"/>
    <w:rsid w:val="6A0D20F2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C357E"/>
    <w:rsid w:val="6A711183"/>
    <w:rsid w:val="6A7B4B9C"/>
    <w:rsid w:val="6A7F585E"/>
    <w:rsid w:val="6AAF014C"/>
    <w:rsid w:val="6AC07690"/>
    <w:rsid w:val="6ACB082B"/>
    <w:rsid w:val="6AD3247E"/>
    <w:rsid w:val="6AE4699C"/>
    <w:rsid w:val="6AF317C6"/>
    <w:rsid w:val="6B09696B"/>
    <w:rsid w:val="6B2B0EFD"/>
    <w:rsid w:val="6B2C13E4"/>
    <w:rsid w:val="6B2D2EEB"/>
    <w:rsid w:val="6B410613"/>
    <w:rsid w:val="6B4B0A4C"/>
    <w:rsid w:val="6B4B36C9"/>
    <w:rsid w:val="6B4E75E6"/>
    <w:rsid w:val="6B50310B"/>
    <w:rsid w:val="6B5045E2"/>
    <w:rsid w:val="6B5B3B9E"/>
    <w:rsid w:val="6B5C4553"/>
    <w:rsid w:val="6B695848"/>
    <w:rsid w:val="6B730045"/>
    <w:rsid w:val="6B736A2E"/>
    <w:rsid w:val="6B874340"/>
    <w:rsid w:val="6B884219"/>
    <w:rsid w:val="6B90781F"/>
    <w:rsid w:val="6BA6437F"/>
    <w:rsid w:val="6BA6663C"/>
    <w:rsid w:val="6BA9194F"/>
    <w:rsid w:val="6BE727F5"/>
    <w:rsid w:val="6BEC7AFC"/>
    <w:rsid w:val="6C0858B3"/>
    <w:rsid w:val="6C240DF3"/>
    <w:rsid w:val="6C267BF0"/>
    <w:rsid w:val="6C3E2FAF"/>
    <w:rsid w:val="6C45610F"/>
    <w:rsid w:val="6C59472D"/>
    <w:rsid w:val="6C5A4564"/>
    <w:rsid w:val="6C603744"/>
    <w:rsid w:val="6C637CCF"/>
    <w:rsid w:val="6C7802EB"/>
    <w:rsid w:val="6C89456C"/>
    <w:rsid w:val="6CA20D5B"/>
    <w:rsid w:val="6CB71894"/>
    <w:rsid w:val="6CD63FB3"/>
    <w:rsid w:val="6CFD5D1F"/>
    <w:rsid w:val="6CFE035F"/>
    <w:rsid w:val="6D056EA6"/>
    <w:rsid w:val="6D1766A9"/>
    <w:rsid w:val="6D221E52"/>
    <w:rsid w:val="6D227835"/>
    <w:rsid w:val="6D2834C8"/>
    <w:rsid w:val="6D2F1F0B"/>
    <w:rsid w:val="6D3C6626"/>
    <w:rsid w:val="6D5D0DB5"/>
    <w:rsid w:val="6D6855B1"/>
    <w:rsid w:val="6D7B4AB7"/>
    <w:rsid w:val="6D836C02"/>
    <w:rsid w:val="6D89784B"/>
    <w:rsid w:val="6D9057BE"/>
    <w:rsid w:val="6D9E0566"/>
    <w:rsid w:val="6DA90243"/>
    <w:rsid w:val="6DBE7F27"/>
    <w:rsid w:val="6DCD0146"/>
    <w:rsid w:val="6DD05277"/>
    <w:rsid w:val="6DF43BD4"/>
    <w:rsid w:val="6E0E1FAB"/>
    <w:rsid w:val="6E2143FB"/>
    <w:rsid w:val="6E317378"/>
    <w:rsid w:val="6E3C2F4C"/>
    <w:rsid w:val="6E3E5591"/>
    <w:rsid w:val="6E4215C6"/>
    <w:rsid w:val="6E4B0158"/>
    <w:rsid w:val="6E4D611F"/>
    <w:rsid w:val="6E567C9E"/>
    <w:rsid w:val="6E635028"/>
    <w:rsid w:val="6E636A71"/>
    <w:rsid w:val="6E685B0A"/>
    <w:rsid w:val="6E73404A"/>
    <w:rsid w:val="6E7355AA"/>
    <w:rsid w:val="6E7D300B"/>
    <w:rsid w:val="6E823708"/>
    <w:rsid w:val="6E8B3F00"/>
    <w:rsid w:val="6E920B5B"/>
    <w:rsid w:val="6E990B16"/>
    <w:rsid w:val="6EB169D3"/>
    <w:rsid w:val="6EB21539"/>
    <w:rsid w:val="6EB829B1"/>
    <w:rsid w:val="6EB978A9"/>
    <w:rsid w:val="6EBE6450"/>
    <w:rsid w:val="6ECC3A24"/>
    <w:rsid w:val="6ED86D3E"/>
    <w:rsid w:val="6EE9744F"/>
    <w:rsid w:val="6EEC3F7C"/>
    <w:rsid w:val="6EF3602C"/>
    <w:rsid w:val="6EFE1485"/>
    <w:rsid w:val="6F031F8E"/>
    <w:rsid w:val="6F0D382C"/>
    <w:rsid w:val="6F2632E8"/>
    <w:rsid w:val="6F30363A"/>
    <w:rsid w:val="6F3316E5"/>
    <w:rsid w:val="6F3F40F9"/>
    <w:rsid w:val="6F5E0205"/>
    <w:rsid w:val="6F6F14E1"/>
    <w:rsid w:val="6FA629D4"/>
    <w:rsid w:val="6FA75ADB"/>
    <w:rsid w:val="6FB77ED4"/>
    <w:rsid w:val="6FBD4D2F"/>
    <w:rsid w:val="6FBF4710"/>
    <w:rsid w:val="6FC9052A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570007"/>
    <w:rsid w:val="705843B4"/>
    <w:rsid w:val="70655A58"/>
    <w:rsid w:val="706A16CA"/>
    <w:rsid w:val="70822BAD"/>
    <w:rsid w:val="708746BC"/>
    <w:rsid w:val="708F7F54"/>
    <w:rsid w:val="709E3D85"/>
    <w:rsid w:val="70A36A35"/>
    <w:rsid w:val="70AC660B"/>
    <w:rsid w:val="70B17138"/>
    <w:rsid w:val="70BB2EF0"/>
    <w:rsid w:val="70BC2801"/>
    <w:rsid w:val="70C6646C"/>
    <w:rsid w:val="70C72A96"/>
    <w:rsid w:val="70FC2D1E"/>
    <w:rsid w:val="71015D6B"/>
    <w:rsid w:val="71115386"/>
    <w:rsid w:val="71151975"/>
    <w:rsid w:val="71336A65"/>
    <w:rsid w:val="71545B37"/>
    <w:rsid w:val="71570E43"/>
    <w:rsid w:val="71573E01"/>
    <w:rsid w:val="715A268F"/>
    <w:rsid w:val="71702748"/>
    <w:rsid w:val="717C4AD2"/>
    <w:rsid w:val="71867894"/>
    <w:rsid w:val="719F7A78"/>
    <w:rsid w:val="71B623F6"/>
    <w:rsid w:val="71C7540C"/>
    <w:rsid w:val="71D438FF"/>
    <w:rsid w:val="71F64A63"/>
    <w:rsid w:val="71F870B8"/>
    <w:rsid w:val="72021233"/>
    <w:rsid w:val="720B2A1D"/>
    <w:rsid w:val="72380401"/>
    <w:rsid w:val="72502F9F"/>
    <w:rsid w:val="725817D3"/>
    <w:rsid w:val="726E6AD4"/>
    <w:rsid w:val="727C422C"/>
    <w:rsid w:val="728E71EE"/>
    <w:rsid w:val="7292045A"/>
    <w:rsid w:val="72974DBE"/>
    <w:rsid w:val="72A20C20"/>
    <w:rsid w:val="72AC5E95"/>
    <w:rsid w:val="72AD26CF"/>
    <w:rsid w:val="72C13ED7"/>
    <w:rsid w:val="72CF1AC7"/>
    <w:rsid w:val="72E42AFA"/>
    <w:rsid w:val="72E85578"/>
    <w:rsid w:val="72EB4466"/>
    <w:rsid w:val="72F5235D"/>
    <w:rsid w:val="72FD426E"/>
    <w:rsid w:val="73043CFC"/>
    <w:rsid w:val="732B736C"/>
    <w:rsid w:val="732C334F"/>
    <w:rsid w:val="734F0C79"/>
    <w:rsid w:val="734F4185"/>
    <w:rsid w:val="73520620"/>
    <w:rsid w:val="735D1B7C"/>
    <w:rsid w:val="7363274A"/>
    <w:rsid w:val="73691A4A"/>
    <w:rsid w:val="7371152B"/>
    <w:rsid w:val="73777B4D"/>
    <w:rsid w:val="737D67BB"/>
    <w:rsid w:val="738A6895"/>
    <w:rsid w:val="73917325"/>
    <w:rsid w:val="7395427D"/>
    <w:rsid w:val="73BC7089"/>
    <w:rsid w:val="73BE7067"/>
    <w:rsid w:val="73CE3CFD"/>
    <w:rsid w:val="73E406FD"/>
    <w:rsid w:val="73E51541"/>
    <w:rsid w:val="73E52294"/>
    <w:rsid w:val="73EC5464"/>
    <w:rsid w:val="73FF2D64"/>
    <w:rsid w:val="74137154"/>
    <w:rsid w:val="7421310D"/>
    <w:rsid w:val="74257F79"/>
    <w:rsid w:val="74273820"/>
    <w:rsid w:val="7427471C"/>
    <w:rsid w:val="74355B0B"/>
    <w:rsid w:val="74382479"/>
    <w:rsid w:val="743C7157"/>
    <w:rsid w:val="74416F54"/>
    <w:rsid w:val="744B354F"/>
    <w:rsid w:val="7450294E"/>
    <w:rsid w:val="74543139"/>
    <w:rsid w:val="746B732F"/>
    <w:rsid w:val="746E18CB"/>
    <w:rsid w:val="746F3904"/>
    <w:rsid w:val="748D52FA"/>
    <w:rsid w:val="74986414"/>
    <w:rsid w:val="74993216"/>
    <w:rsid w:val="74B44784"/>
    <w:rsid w:val="74B808BF"/>
    <w:rsid w:val="74C03187"/>
    <w:rsid w:val="74E4756E"/>
    <w:rsid w:val="74EA0E1A"/>
    <w:rsid w:val="74ED19FF"/>
    <w:rsid w:val="74F4641C"/>
    <w:rsid w:val="75084E8F"/>
    <w:rsid w:val="7509261E"/>
    <w:rsid w:val="75202656"/>
    <w:rsid w:val="752231CE"/>
    <w:rsid w:val="75752B04"/>
    <w:rsid w:val="758910BB"/>
    <w:rsid w:val="75955DA9"/>
    <w:rsid w:val="75977910"/>
    <w:rsid w:val="75985DFA"/>
    <w:rsid w:val="759F2A35"/>
    <w:rsid w:val="75B15C41"/>
    <w:rsid w:val="75CC5191"/>
    <w:rsid w:val="75D12923"/>
    <w:rsid w:val="75EA364B"/>
    <w:rsid w:val="75EC6D49"/>
    <w:rsid w:val="75F20996"/>
    <w:rsid w:val="75F96973"/>
    <w:rsid w:val="76123E1D"/>
    <w:rsid w:val="761270F3"/>
    <w:rsid w:val="762135B2"/>
    <w:rsid w:val="762A17C0"/>
    <w:rsid w:val="762D0A29"/>
    <w:rsid w:val="762E6798"/>
    <w:rsid w:val="76331008"/>
    <w:rsid w:val="76425118"/>
    <w:rsid w:val="764838B9"/>
    <w:rsid w:val="764B15DA"/>
    <w:rsid w:val="764C09B4"/>
    <w:rsid w:val="764F5A52"/>
    <w:rsid w:val="766A4A0D"/>
    <w:rsid w:val="768C454B"/>
    <w:rsid w:val="7692667A"/>
    <w:rsid w:val="76982273"/>
    <w:rsid w:val="769A7352"/>
    <w:rsid w:val="76A177B8"/>
    <w:rsid w:val="76AD2761"/>
    <w:rsid w:val="76B64E53"/>
    <w:rsid w:val="76B8001A"/>
    <w:rsid w:val="76B81599"/>
    <w:rsid w:val="76BB2F21"/>
    <w:rsid w:val="76BC314A"/>
    <w:rsid w:val="76CF29D3"/>
    <w:rsid w:val="76EC51FD"/>
    <w:rsid w:val="76F410B8"/>
    <w:rsid w:val="76F60029"/>
    <w:rsid w:val="76F70779"/>
    <w:rsid w:val="771B67DF"/>
    <w:rsid w:val="77272CAB"/>
    <w:rsid w:val="77391CEC"/>
    <w:rsid w:val="77451578"/>
    <w:rsid w:val="77576666"/>
    <w:rsid w:val="77692EA3"/>
    <w:rsid w:val="77825248"/>
    <w:rsid w:val="7785098B"/>
    <w:rsid w:val="77870D91"/>
    <w:rsid w:val="778A3229"/>
    <w:rsid w:val="779258CC"/>
    <w:rsid w:val="7794068F"/>
    <w:rsid w:val="779A096B"/>
    <w:rsid w:val="779B52FF"/>
    <w:rsid w:val="77A00E75"/>
    <w:rsid w:val="77A80D17"/>
    <w:rsid w:val="77B841F3"/>
    <w:rsid w:val="77C078B1"/>
    <w:rsid w:val="77E66E3C"/>
    <w:rsid w:val="77F3789A"/>
    <w:rsid w:val="780326B9"/>
    <w:rsid w:val="780332E5"/>
    <w:rsid w:val="7833711D"/>
    <w:rsid w:val="78460D63"/>
    <w:rsid w:val="78497C2E"/>
    <w:rsid w:val="78502D35"/>
    <w:rsid w:val="7854087B"/>
    <w:rsid w:val="786A4053"/>
    <w:rsid w:val="78782A0D"/>
    <w:rsid w:val="78785A2F"/>
    <w:rsid w:val="787B5060"/>
    <w:rsid w:val="788720E7"/>
    <w:rsid w:val="78A90B04"/>
    <w:rsid w:val="78C53485"/>
    <w:rsid w:val="78C6693F"/>
    <w:rsid w:val="78C76A01"/>
    <w:rsid w:val="78EC45D8"/>
    <w:rsid w:val="78EC6DF0"/>
    <w:rsid w:val="78F5335B"/>
    <w:rsid w:val="791843E7"/>
    <w:rsid w:val="79233426"/>
    <w:rsid w:val="79260F03"/>
    <w:rsid w:val="79395A92"/>
    <w:rsid w:val="794008FB"/>
    <w:rsid w:val="794708D9"/>
    <w:rsid w:val="794B21A1"/>
    <w:rsid w:val="7964574A"/>
    <w:rsid w:val="79804706"/>
    <w:rsid w:val="79941CF2"/>
    <w:rsid w:val="79973382"/>
    <w:rsid w:val="79B4353E"/>
    <w:rsid w:val="79D33056"/>
    <w:rsid w:val="79D715DF"/>
    <w:rsid w:val="79DC713A"/>
    <w:rsid w:val="79EC0256"/>
    <w:rsid w:val="79F60153"/>
    <w:rsid w:val="79FB6E2C"/>
    <w:rsid w:val="7A36322F"/>
    <w:rsid w:val="7A3C2BAA"/>
    <w:rsid w:val="7A3D2527"/>
    <w:rsid w:val="7A4C2D60"/>
    <w:rsid w:val="7A5C4815"/>
    <w:rsid w:val="7A5E0869"/>
    <w:rsid w:val="7A6E4BF5"/>
    <w:rsid w:val="7A7A2665"/>
    <w:rsid w:val="7A851D5D"/>
    <w:rsid w:val="7A8A2267"/>
    <w:rsid w:val="7AB53126"/>
    <w:rsid w:val="7AB7121B"/>
    <w:rsid w:val="7AB76FE8"/>
    <w:rsid w:val="7AD268E2"/>
    <w:rsid w:val="7ADC0B33"/>
    <w:rsid w:val="7AE14C19"/>
    <w:rsid w:val="7AEA174E"/>
    <w:rsid w:val="7B274176"/>
    <w:rsid w:val="7B306163"/>
    <w:rsid w:val="7B3E17AA"/>
    <w:rsid w:val="7B401C79"/>
    <w:rsid w:val="7B440ED6"/>
    <w:rsid w:val="7B4678D7"/>
    <w:rsid w:val="7B4B2A93"/>
    <w:rsid w:val="7B527515"/>
    <w:rsid w:val="7B7E38A0"/>
    <w:rsid w:val="7B890A24"/>
    <w:rsid w:val="7B8A4A8A"/>
    <w:rsid w:val="7BA936A0"/>
    <w:rsid w:val="7BAA485C"/>
    <w:rsid w:val="7BAD1591"/>
    <w:rsid w:val="7BCD64C2"/>
    <w:rsid w:val="7BD005E8"/>
    <w:rsid w:val="7BD3716B"/>
    <w:rsid w:val="7BEC2711"/>
    <w:rsid w:val="7BF55850"/>
    <w:rsid w:val="7C1054B7"/>
    <w:rsid w:val="7C26369C"/>
    <w:rsid w:val="7C2A465C"/>
    <w:rsid w:val="7C305879"/>
    <w:rsid w:val="7C34521A"/>
    <w:rsid w:val="7C4A2BD1"/>
    <w:rsid w:val="7C576C70"/>
    <w:rsid w:val="7C607511"/>
    <w:rsid w:val="7C6E4349"/>
    <w:rsid w:val="7C77043F"/>
    <w:rsid w:val="7C8A7CDC"/>
    <w:rsid w:val="7C9E5A24"/>
    <w:rsid w:val="7CB4006B"/>
    <w:rsid w:val="7CB93ABB"/>
    <w:rsid w:val="7CC9422E"/>
    <w:rsid w:val="7CD03050"/>
    <w:rsid w:val="7CE656F0"/>
    <w:rsid w:val="7CEB45B7"/>
    <w:rsid w:val="7CED34FF"/>
    <w:rsid w:val="7CEE5458"/>
    <w:rsid w:val="7CF26588"/>
    <w:rsid w:val="7CF565D7"/>
    <w:rsid w:val="7CFA3A46"/>
    <w:rsid w:val="7D0F5720"/>
    <w:rsid w:val="7D2E198F"/>
    <w:rsid w:val="7D3B3737"/>
    <w:rsid w:val="7D3D73AF"/>
    <w:rsid w:val="7D5B27C9"/>
    <w:rsid w:val="7D62117D"/>
    <w:rsid w:val="7D6B7F02"/>
    <w:rsid w:val="7D834A16"/>
    <w:rsid w:val="7D9D0A97"/>
    <w:rsid w:val="7D9D438F"/>
    <w:rsid w:val="7DA514D2"/>
    <w:rsid w:val="7DBB5D06"/>
    <w:rsid w:val="7DCD1A27"/>
    <w:rsid w:val="7DCD4EB5"/>
    <w:rsid w:val="7E090313"/>
    <w:rsid w:val="7E3E0FEC"/>
    <w:rsid w:val="7E3E1EF2"/>
    <w:rsid w:val="7E4247D7"/>
    <w:rsid w:val="7E517B0C"/>
    <w:rsid w:val="7E566EA2"/>
    <w:rsid w:val="7E5C1ABA"/>
    <w:rsid w:val="7E61281D"/>
    <w:rsid w:val="7E622778"/>
    <w:rsid w:val="7E756346"/>
    <w:rsid w:val="7E85174A"/>
    <w:rsid w:val="7E8B68B9"/>
    <w:rsid w:val="7EAA7C26"/>
    <w:rsid w:val="7EAF1FAA"/>
    <w:rsid w:val="7EB4653A"/>
    <w:rsid w:val="7ECA4601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22EBD"/>
    <w:rsid w:val="7F0B5962"/>
    <w:rsid w:val="7F0C2035"/>
    <w:rsid w:val="7F0F7992"/>
    <w:rsid w:val="7F1B0865"/>
    <w:rsid w:val="7F271AA3"/>
    <w:rsid w:val="7F542B37"/>
    <w:rsid w:val="7F54566E"/>
    <w:rsid w:val="7F6B2248"/>
    <w:rsid w:val="7F7D7A8E"/>
    <w:rsid w:val="7F872588"/>
    <w:rsid w:val="7F8725BA"/>
    <w:rsid w:val="7F8C6A8F"/>
    <w:rsid w:val="7F9C175D"/>
    <w:rsid w:val="7FA85877"/>
    <w:rsid w:val="7FAB3A81"/>
    <w:rsid w:val="7FBE68FB"/>
    <w:rsid w:val="7FCB6843"/>
    <w:rsid w:val="7FDC52B9"/>
    <w:rsid w:val="7FE653BC"/>
    <w:rsid w:val="7FEA5C65"/>
    <w:rsid w:val="7FEF11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3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6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paragraph" w:customStyle="1" w:styleId="29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0">
    <w:name w:val="YJ-Observation"/>
    <w:basedOn w:val="29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1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2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3">
    <w:name w:val="sub-proposal"/>
    <w:basedOn w:val="29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4">
    <w:name w:val="样式1"/>
    <w:basedOn w:val="1"/>
    <w:qFormat/>
    <w:uiPriority w:val="0"/>
  </w:style>
  <w:style w:type="paragraph" w:customStyle="1" w:styleId="35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6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7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8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3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3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2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oleObject" Target="embeddings/oleObject4.bin"/><Relationship Id="rId14" Type="http://schemas.openxmlformats.org/officeDocument/2006/relationships/oleObject" Target="embeddings/oleObject3.bin"/><Relationship Id="rId13" Type="http://schemas.openxmlformats.org/officeDocument/2006/relationships/image" Target="media/image2.wmf"/><Relationship Id="rId12" Type="http://schemas.openxmlformats.org/officeDocument/2006/relationships/oleObject" Target="embeddings/oleObject2.bin"/><Relationship Id="rId11" Type="http://schemas.openxmlformats.org/officeDocument/2006/relationships/image" Target="media/image1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4</Pages>
  <Words>1243</Words>
  <Characters>5898</Characters>
  <Lines>49</Lines>
  <Paragraphs>14</Paragraphs>
  <TotalTime>17</TotalTime>
  <ScaleCrop>false</ScaleCrop>
  <LinksUpToDate>false</LinksUpToDate>
  <CharactersWithSpaces>7127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Moderator</cp:lastModifiedBy>
  <dcterms:modified xsi:type="dcterms:W3CDTF">2023-05-15T10:36:22Z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